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D8973" w14:textId="77777777" w:rsidR="00356A33" w:rsidRPr="00845ED7" w:rsidRDefault="00356A33" w:rsidP="00845ED7">
      <w:pPr>
        <w:jc w:val="center"/>
        <w:rPr>
          <w:rFonts w:asciiTheme="majorHAnsi" w:hAnsiTheme="majorHAnsi"/>
          <w:b/>
          <w:sz w:val="30"/>
          <w:szCs w:val="30"/>
        </w:rPr>
      </w:pPr>
      <w:bookmarkStart w:id="0" w:name="_GoBack"/>
      <w:bookmarkEnd w:id="0"/>
      <w:r w:rsidRPr="004E7399">
        <w:rPr>
          <w:rFonts w:asciiTheme="majorHAnsi" w:hAnsiTheme="majorHAnsi"/>
          <w:b/>
          <w:sz w:val="32"/>
          <w:szCs w:val="30"/>
        </w:rPr>
        <w:t xml:space="preserve">Texas Central </w:t>
      </w:r>
      <w:r w:rsidR="004E7399" w:rsidRPr="004E7399">
        <w:rPr>
          <w:rFonts w:asciiTheme="majorHAnsi" w:hAnsiTheme="majorHAnsi"/>
          <w:b/>
          <w:sz w:val="32"/>
          <w:szCs w:val="30"/>
        </w:rPr>
        <w:t>expands leadership team with three executives</w:t>
      </w:r>
    </w:p>
    <w:p w14:paraId="460EAC03" w14:textId="77777777" w:rsidR="00356A33" w:rsidRPr="00995F65" w:rsidRDefault="00356A33" w:rsidP="00356A33">
      <w:pPr>
        <w:rPr>
          <w:rFonts w:asciiTheme="majorHAnsi" w:hAnsiTheme="majorHAnsi"/>
          <w:b/>
          <w:sz w:val="22"/>
          <w:szCs w:val="22"/>
        </w:rPr>
      </w:pPr>
    </w:p>
    <w:p w14:paraId="3BE9C183" w14:textId="77777777" w:rsidR="00356A33" w:rsidRPr="004E7399" w:rsidRDefault="00845ED7" w:rsidP="004E739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Company </w:t>
      </w:r>
      <w:r w:rsidR="00181996">
        <w:rPr>
          <w:rFonts w:asciiTheme="majorHAnsi" w:hAnsiTheme="majorHAnsi"/>
          <w:b/>
        </w:rPr>
        <w:t>d</w:t>
      </w:r>
      <w:r w:rsidR="00356A33" w:rsidRPr="00845ED7">
        <w:rPr>
          <w:rFonts w:asciiTheme="majorHAnsi" w:hAnsiTheme="majorHAnsi"/>
          <w:b/>
        </w:rPr>
        <w:t>e</w:t>
      </w:r>
      <w:r w:rsidR="00181996">
        <w:rPr>
          <w:rFonts w:asciiTheme="majorHAnsi" w:hAnsiTheme="majorHAnsi"/>
          <w:b/>
        </w:rPr>
        <w:t>ve</w:t>
      </w:r>
      <w:r w:rsidR="00356A33" w:rsidRPr="00845ED7">
        <w:rPr>
          <w:rFonts w:asciiTheme="majorHAnsi" w:hAnsiTheme="majorHAnsi"/>
          <w:b/>
        </w:rPr>
        <w:t xml:space="preserve">loping high-speed rail </w:t>
      </w:r>
      <w:r w:rsidR="004E7399">
        <w:rPr>
          <w:rFonts w:asciiTheme="majorHAnsi" w:hAnsiTheme="majorHAnsi"/>
          <w:b/>
        </w:rPr>
        <w:t xml:space="preserve">adds experience </w:t>
      </w:r>
      <w:r w:rsidR="004E7399" w:rsidRPr="004E7399">
        <w:rPr>
          <w:rFonts w:asciiTheme="majorHAnsi" w:hAnsiTheme="majorHAnsi"/>
          <w:b/>
        </w:rPr>
        <w:t>to senior executive team</w:t>
      </w:r>
      <w:r w:rsidR="004E7399">
        <w:rPr>
          <w:rFonts w:asciiTheme="majorHAnsi" w:hAnsiTheme="majorHAnsi"/>
          <w:b/>
        </w:rPr>
        <w:t xml:space="preserve"> in</w:t>
      </w:r>
      <w:r w:rsidR="00356A33" w:rsidRPr="00845ED7">
        <w:rPr>
          <w:rFonts w:asciiTheme="majorHAnsi" w:hAnsiTheme="majorHAnsi"/>
          <w:b/>
        </w:rPr>
        <w:t xml:space="preserve"> </w:t>
      </w:r>
      <w:r w:rsidR="004E7399">
        <w:rPr>
          <w:rFonts w:asciiTheme="majorHAnsi" w:hAnsiTheme="majorHAnsi"/>
          <w:b/>
        </w:rPr>
        <w:t xml:space="preserve">Public Affairs, Construction and Finance </w:t>
      </w:r>
    </w:p>
    <w:p w14:paraId="11B190F0" w14:textId="77777777" w:rsidR="00845ED7" w:rsidRPr="00995F65" w:rsidRDefault="00845ED7" w:rsidP="00356A33">
      <w:pPr>
        <w:rPr>
          <w:rFonts w:asciiTheme="majorHAnsi" w:hAnsiTheme="majorHAnsi"/>
          <w:b/>
          <w:sz w:val="20"/>
          <w:szCs w:val="20"/>
        </w:rPr>
      </w:pPr>
    </w:p>
    <w:p w14:paraId="64121290" w14:textId="77777777" w:rsidR="00845ED7" w:rsidRPr="00845ED7" w:rsidRDefault="00845ED7" w:rsidP="00845ED7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845ED7">
        <w:rPr>
          <w:rFonts w:asciiTheme="majorHAnsi" w:hAnsiTheme="majorHAnsi"/>
          <w:b/>
        </w:rPr>
        <w:t xml:space="preserve">Appointments mark latest milestone in </w:t>
      </w:r>
      <w:r w:rsidR="00361A72">
        <w:rPr>
          <w:rFonts w:asciiTheme="majorHAnsi" w:hAnsiTheme="majorHAnsi"/>
          <w:b/>
        </w:rPr>
        <w:t>project linking state’s commercial hubs</w:t>
      </w:r>
    </w:p>
    <w:p w14:paraId="245F142D" w14:textId="77777777" w:rsidR="00995F65" w:rsidRDefault="00995F65" w:rsidP="00631105">
      <w:pPr>
        <w:rPr>
          <w:rFonts w:asciiTheme="majorHAnsi" w:hAnsiTheme="majorHAnsi"/>
        </w:rPr>
      </w:pPr>
    </w:p>
    <w:p w14:paraId="6E95D178" w14:textId="273BC1F6" w:rsidR="00361A72" w:rsidRDefault="00845ED7" w:rsidP="006311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DALLAS [Nov. 30, 2015] </w:t>
      </w:r>
      <w:r w:rsidR="00631105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631105">
        <w:rPr>
          <w:rFonts w:asciiTheme="majorHAnsi" w:hAnsiTheme="majorHAnsi"/>
        </w:rPr>
        <w:t xml:space="preserve">Texas Central </w:t>
      </w:r>
      <w:r w:rsidR="00631105" w:rsidRPr="00101659">
        <w:rPr>
          <w:rFonts w:asciiTheme="majorHAnsi" w:hAnsiTheme="majorHAnsi"/>
        </w:rPr>
        <w:t>Partners</w:t>
      </w:r>
      <w:r w:rsidR="00631105">
        <w:rPr>
          <w:rFonts w:asciiTheme="majorHAnsi" w:hAnsiTheme="majorHAnsi"/>
        </w:rPr>
        <w:t>,</w:t>
      </w:r>
      <w:r w:rsidR="003B7F06">
        <w:rPr>
          <w:rFonts w:asciiTheme="majorHAnsi" w:hAnsiTheme="majorHAnsi"/>
        </w:rPr>
        <w:t xml:space="preserve"> LLC,</w:t>
      </w:r>
      <w:r w:rsidR="00CC007D">
        <w:rPr>
          <w:rFonts w:asciiTheme="majorHAnsi" w:hAnsiTheme="majorHAnsi"/>
        </w:rPr>
        <w:t xml:space="preserve"> developers</w:t>
      </w:r>
      <w:r w:rsidR="003B531C">
        <w:rPr>
          <w:rFonts w:asciiTheme="majorHAnsi" w:hAnsiTheme="majorHAnsi"/>
        </w:rPr>
        <w:t xml:space="preserve"> of </w:t>
      </w:r>
      <w:r w:rsidR="00075E13">
        <w:rPr>
          <w:rFonts w:asciiTheme="majorHAnsi" w:hAnsiTheme="majorHAnsi"/>
        </w:rPr>
        <w:t xml:space="preserve">a </w:t>
      </w:r>
      <w:r w:rsidR="00631105">
        <w:rPr>
          <w:rFonts w:asciiTheme="majorHAnsi" w:hAnsiTheme="majorHAnsi"/>
        </w:rPr>
        <w:t xml:space="preserve">high-speed rail </w:t>
      </w:r>
      <w:r w:rsidR="00075E13">
        <w:rPr>
          <w:rFonts w:asciiTheme="majorHAnsi" w:hAnsiTheme="majorHAnsi"/>
        </w:rPr>
        <w:t xml:space="preserve">project </w:t>
      </w:r>
      <w:r w:rsidR="00CC007D">
        <w:rPr>
          <w:rFonts w:asciiTheme="majorHAnsi" w:hAnsiTheme="majorHAnsi"/>
        </w:rPr>
        <w:t>between North Texas and Houston</w:t>
      </w:r>
      <w:r w:rsidR="00631105">
        <w:rPr>
          <w:rFonts w:asciiTheme="majorHAnsi" w:hAnsiTheme="majorHAnsi"/>
        </w:rPr>
        <w:t xml:space="preserve">, has expanded its </w:t>
      </w:r>
      <w:r w:rsidR="005B23FC">
        <w:rPr>
          <w:rFonts w:asciiTheme="majorHAnsi" w:hAnsiTheme="majorHAnsi"/>
        </w:rPr>
        <w:t>executive</w:t>
      </w:r>
      <w:r w:rsidR="00631105">
        <w:rPr>
          <w:rFonts w:asciiTheme="majorHAnsi" w:hAnsiTheme="majorHAnsi"/>
        </w:rPr>
        <w:t xml:space="preserve"> ranks, adding Holly Reed, a </w:t>
      </w:r>
      <w:r w:rsidR="00631105" w:rsidRPr="00356A33">
        <w:rPr>
          <w:rFonts w:asciiTheme="majorHAnsi" w:hAnsiTheme="majorHAnsi"/>
        </w:rPr>
        <w:t>veteran</w:t>
      </w:r>
      <w:r w:rsidR="003B7F06">
        <w:rPr>
          <w:rFonts w:asciiTheme="majorHAnsi" w:hAnsiTheme="majorHAnsi"/>
        </w:rPr>
        <w:t xml:space="preserve"> executive</w:t>
      </w:r>
      <w:r w:rsidR="00631105" w:rsidRPr="00356A33">
        <w:rPr>
          <w:rFonts w:asciiTheme="majorHAnsi" w:hAnsiTheme="majorHAnsi"/>
        </w:rPr>
        <w:t xml:space="preserve"> </w:t>
      </w:r>
      <w:r w:rsidR="00904375">
        <w:rPr>
          <w:rFonts w:asciiTheme="majorHAnsi" w:hAnsiTheme="majorHAnsi"/>
        </w:rPr>
        <w:t xml:space="preserve">with </w:t>
      </w:r>
      <w:r w:rsidR="00631105" w:rsidRPr="00356A33">
        <w:rPr>
          <w:rFonts w:asciiTheme="majorHAnsi" w:hAnsiTheme="majorHAnsi"/>
        </w:rPr>
        <w:t xml:space="preserve">deep experience in </w:t>
      </w:r>
      <w:r w:rsidR="004E7399">
        <w:rPr>
          <w:rFonts w:asciiTheme="majorHAnsi" w:hAnsiTheme="majorHAnsi"/>
        </w:rPr>
        <w:t xml:space="preserve">public affairs, </w:t>
      </w:r>
      <w:r w:rsidR="003B531C">
        <w:rPr>
          <w:rFonts w:asciiTheme="majorHAnsi" w:hAnsiTheme="majorHAnsi"/>
        </w:rPr>
        <w:t xml:space="preserve">governmental </w:t>
      </w:r>
      <w:r w:rsidR="004E7399">
        <w:rPr>
          <w:rFonts w:asciiTheme="majorHAnsi" w:hAnsiTheme="majorHAnsi"/>
        </w:rPr>
        <w:t xml:space="preserve">and community </w:t>
      </w:r>
      <w:r w:rsidR="003B531C">
        <w:rPr>
          <w:rFonts w:asciiTheme="majorHAnsi" w:hAnsiTheme="majorHAnsi"/>
        </w:rPr>
        <w:t>relations at a Fortune 15 company</w:t>
      </w:r>
      <w:r w:rsidR="00921B3B">
        <w:rPr>
          <w:rFonts w:asciiTheme="majorHAnsi" w:hAnsiTheme="majorHAnsi"/>
        </w:rPr>
        <w:t xml:space="preserve">; </w:t>
      </w:r>
      <w:r w:rsidR="003B7F06">
        <w:rPr>
          <w:rFonts w:asciiTheme="majorHAnsi" w:hAnsiTheme="majorHAnsi"/>
        </w:rPr>
        <w:t>Doug Jones</w:t>
      </w:r>
      <w:r w:rsidR="00CC007D">
        <w:rPr>
          <w:rFonts w:asciiTheme="majorHAnsi" w:hAnsiTheme="majorHAnsi"/>
        </w:rPr>
        <w:t>,</w:t>
      </w:r>
      <w:r w:rsidR="003B7F06">
        <w:rPr>
          <w:rFonts w:asciiTheme="majorHAnsi" w:hAnsiTheme="majorHAnsi"/>
        </w:rPr>
        <w:t xml:space="preserve"> a seasoned leader</w:t>
      </w:r>
      <w:r w:rsidR="00921B3B">
        <w:rPr>
          <w:rFonts w:asciiTheme="majorHAnsi" w:hAnsiTheme="majorHAnsi"/>
        </w:rPr>
        <w:t xml:space="preserve"> and innovator</w:t>
      </w:r>
      <w:r w:rsidR="003B7F06">
        <w:rPr>
          <w:rFonts w:asciiTheme="majorHAnsi" w:hAnsiTheme="majorHAnsi"/>
        </w:rPr>
        <w:t xml:space="preserve"> in the construction industry</w:t>
      </w:r>
      <w:r w:rsidR="00921B3B">
        <w:rPr>
          <w:rFonts w:asciiTheme="majorHAnsi" w:hAnsiTheme="majorHAnsi"/>
        </w:rPr>
        <w:t>;</w:t>
      </w:r>
      <w:r w:rsidR="003B7F06">
        <w:rPr>
          <w:rFonts w:asciiTheme="majorHAnsi" w:hAnsiTheme="majorHAnsi"/>
        </w:rPr>
        <w:t xml:space="preserve"> and Lori Willox</w:t>
      </w:r>
      <w:r w:rsidR="000D70E2">
        <w:rPr>
          <w:rFonts w:asciiTheme="majorHAnsi" w:hAnsiTheme="majorHAnsi"/>
        </w:rPr>
        <w:t>,</w:t>
      </w:r>
      <w:r w:rsidR="003B7F06">
        <w:rPr>
          <w:rFonts w:asciiTheme="majorHAnsi" w:hAnsiTheme="majorHAnsi"/>
        </w:rPr>
        <w:t xml:space="preserve"> a CPA and </w:t>
      </w:r>
      <w:r w:rsidR="00EF7B2B">
        <w:rPr>
          <w:rFonts w:asciiTheme="majorHAnsi" w:hAnsiTheme="majorHAnsi"/>
        </w:rPr>
        <w:t xml:space="preserve">experienced </w:t>
      </w:r>
      <w:r w:rsidR="003B7F06">
        <w:rPr>
          <w:rFonts w:asciiTheme="majorHAnsi" w:hAnsiTheme="majorHAnsi"/>
        </w:rPr>
        <w:t>financial executive.</w:t>
      </w:r>
    </w:p>
    <w:p w14:paraId="0491E19B" w14:textId="77777777" w:rsidR="003B531C" w:rsidRDefault="003B531C" w:rsidP="00631105">
      <w:pPr>
        <w:rPr>
          <w:rFonts w:asciiTheme="majorHAnsi" w:hAnsiTheme="majorHAnsi"/>
        </w:rPr>
      </w:pPr>
    </w:p>
    <w:p w14:paraId="6B88B845" w14:textId="6617BC4A" w:rsidR="004C1C63" w:rsidRDefault="003B531C" w:rsidP="0063110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Texas Central CEO Tim Keith announced Reed’s appointment as </w:t>
      </w:r>
      <w:r w:rsidR="00CC007D">
        <w:rPr>
          <w:rFonts w:asciiTheme="majorHAnsi" w:hAnsiTheme="majorHAnsi"/>
        </w:rPr>
        <w:t>m</w:t>
      </w:r>
      <w:r w:rsidR="003B7F06">
        <w:rPr>
          <w:rFonts w:asciiTheme="majorHAnsi" w:hAnsiTheme="majorHAnsi"/>
        </w:rPr>
        <w:t xml:space="preserve">anaging </w:t>
      </w:r>
      <w:r w:rsidR="00CC007D">
        <w:rPr>
          <w:rFonts w:asciiTheme="majorHAnsi" w:hAnsiTheme="majorHAnsi"/>
        </w:rPr>
        <w:t>d</w:t>
      </w:r>
      <w:r w:rsidR="003B7F06">
        <w:rPr>
          <w:rFonts w:asciiTheme="majorHAnsi" w:hAnsiTheme="majorHAnsi"/>
        </w:rPr>
        <w:t>irector</w:t>
      </w:r>
      <w:r w:rsidR="000406C1">
        <w:rPr>
          <w:rFonts w:asciiTheme="majorHAnsi" w:hAnsiTheme="majorHAnsi"/>
        </w:rPr>
        <w:t xml:space="preserve">, </w:t>
      </w:r>
      <w:r w:rsidR="00CC007D">
        <w:rPr>
          <w:rFonts w:asciiTheme="majorHAnsi" w:hAnsiTheme="majorHAnsi"/>
        </w:rPr>
        <w:t>e</w:t>
      </w:r>
      <w:r w:rsidR="003B7F06">
        <w:rPr>
          <w:rFonts w:asciiTheme="majorHAnsi" w:hAnsiTheme="majorHAnsi"/>
        </w:rPr>
        <w:t xml:space="preserve">xternal </w:t>
      </w:r>
      <w:r w:rsidR="00CC007D">
        <w:rPr>
          <w:rFonts w:asciiTheme="majorHAnsi" w:hAnsiTheme="majorHAnsi"/>
        </w:rPr>
        <w:t>a</w:t>
      </w:r>
      <w:r w:rsidR="008D4D11">
        <w:rPr>
          <w:rFonts w:asciiTheme="majorHAnsi" w:hAnsiTheme="majorHAnsi"/>
        </w:rPr>
        <w:t>ffairs</w:t>
      </w:r>
      <w:r>
        <w:rPr>
          <w:rFonts w:asciiTheme="majorHAnsi" w:hAnsiTheme="majorHAnsi"/>
        </w:rPr>
        <w:t xml:space="preserve">, along with </w:t>
      </w:r>
      <w:r w:rsidR="00CC007D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 xml:space="preserve">two other </w:t>
      </w:r>
      <w:r w:rsidR="005B23FC">
        <w:rPr>
          <w:rFonts w:asciiTheme="majorHAnsi" w:hAnsiTheme="majorHAnsi"/>
        </w:rPr>
        <w:t>senior leaders</w:t>
      </w:r>
      <w:r w:rsidR="00CC007D">
        <w:rPr>
          <w:rFonts w:asciiTheme="majorHAnsi" w:hAnsiTheme="majorHAnsi"/>
        </w:rPr>
        <w:t xml:space="preserve"> </w:t>
      </w:r>
      <w:r w:rsidR="000D70E2">
        <w:rPr>
          <w:rFonts w:asciiTheme="majorHAnsi" w:hAnsiTheme="majorHAnsi"/>
        </w:rPr>
        <w:t xml:space="preserve">– </w:t>
      </w:r>
      <w:r w:rsidR="005B23FC">
        <w:rPr>
          <w:rFonts w:asciiTheme="majorHAnsi" w:hAnsiTheme="majorHAnsi"/>
        </w:rPr>
        <w:t xml:space="preserve">the latest </w:t>
      </w:r>
      <w:r w:rsidR="00DC2494">
        <w:rPr>
          <w:rFonts w:asciiTheme="majorHAnsi" w:hAnsiTheme="majorHAnsi"/>
        </w:rPr>
        <w:t xml:space="preserve">moves forward for the privately funded transportation </w:t>
      </w:r>
      <w:r w:rsidR="004C1C63">
        <w:rPr>
          <w:rFonts w:asciiTheme="majorHAnsi" w:hAnsiTheme="majorHAnsi"/>
        </w:rPr>
        <w:t>project</w:t>
      </w:r>
      <w:r w:rsidR="003B7F06">
        <w:rPr>
          <w:rFonts w:asciiTheme="majorHAnsi" w:hAnsiTheme="majorHAnsi"/>
        </w:rPr>
        <w:t>.</w:t>
      </w:r>
    </w:p>
    <w:p w14:paraId="77121B69" w14:textId="77777777" w:rsidR="004C1C63" w:rsidRDefault="004C1C63" w:rsidP="00631105">
      <w:pPr>
        <w:rPr>
          <w:rFonts w:asciiTheme="majorHAnsi" w:hAnsiTheme="majorHAnsi"/>
        </w:rPr>
      </w:pPr>
    </w:p>
    <w:p w14:paraId="0CB27E2A" w14:textId="77777777" w:rsidR="00150C7B" w:rsidRDefault="00DC2494" w:rsidP="00150C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Reed </w:t>
      </w:r>
      <w:r w:rsidR="00CE6287">
        <w:rPr>
          <w:rFonts w:asciiTheme="majorHAnsi" w:hAnsiTheme="majorHAnsi"/>
        </w:rPr>
        <w:t xml:space="preserve">spent 25 years at AT&amp;T and its predecessor companies, most recently as </w:t>
      </w:r>
      <w:r>
        <w:rPr>
          <w:rFonts w:asciiTheme="majorHAnsi" w:hAnsiTheme="majorHAnsi"/>
        </w:rPr>
        <w:t>r</w:t>
      </w:r>
      <w:r w:rsidRPr="00356A33">
        <w:rPr>
          <w:rFonts w:asciiTheme="majorHAnsi" w:hAnsiTheme="majorHAnsi"/>
        </w:rPr>
        <w:t xml:space="preserve">egional </w:t>
      </w:r>
      <w:r>
        <w:rPr>
          <w:rFonts w:asciiTheme="majorHAnsi" w:hAnsiTheme="majorHAnsi"/>
        </w:rPr>
        <w:t>vice president of external a</w:t>
      </w:r>
      <w:r w:rsidRPr="00356A33">
        <w:rPr>
          <w:rFonts w:asciiTheme="majorHAnsi" w:hAnsiTheme="majorHAnsi"/>
        </w:rPr>
        <w:t>ffairs</w:t>
      </w:r>
      <w:r w:rsidR="00CE6287">
        <w:rPr>
          <w:rFonts w:asciiTheme="majorHAnsi" w:hAnsiTheme="majorHAnsi"/>
        </w:rPr>
        <w:t>.</w:t>
      </w:r>
      <w:r w:rsidR="00150C7B">
        <w:rPr>
          <w:rFonts w:asciiTheme="majorHAnsi" w:hAnsiTheme="majorHAnsi"/>
        </w:rPr>
        <w:t xml:space="preserve"> She also held </w:t>
      </w:r>
      <w:r w:rsidR="00150C7B" w:rsidRPr="00356A33">
        <w:rPr>
          <w:rFonts w:asciiTheme="majorHAnsi" w:hAnsiTheme="majorHAnsi"/>
        </w:rPr>
        <w:t>leadership positions in customer service, finance operations, data center operations, marketing</w:t>
      </w:r>
      <w:r w:rsidR="00150C7B">
        <w:rPr>
          <w:rFonts w:asciiTheme="majorHAnsi" w:hAnsiTheme="majorHAnsi"/>
        </w:rPr>
        <w:t xml:space="preserve"> and </w:t>
      </w:r>
      <w:r w:rsidR="00150C7B" w:rsidRPr="00356A33">
        <w:rPr>
          <w:rFonts w:asciiTheme="majorHAnsi" w:hAnsiTheme="majorHAnsi"/>
        </w:rPr>
        <w:t>advertising</w:t>
      </w:r>
      <w:r w:rsidR="00150C7B">
        <w:rPr>
          <w:rFonts w:asciiTheme="majorHAnsi" w:hAnsiTheme="majorHAnsi"/>
        </w:rPr>
        <w:t>.</w:t>
      </w:r>
    </w:p>
    <w:p w14:paraId="369EBDD7" w14:textId="77777777" w:rsidR="00150C7B" w:rsidRDefault="00150C7B" w:rsidP="00DC2494">
      <w:pPr>
        <w:rPr>
          <w:rFonts w:asciiTheme="majorHAnsi" w:hAnsiTheme="majorHAnsi"/>
        </w:rPr>
      </w:pPr>
    </w:p>
    <w:p w14:paraId="3881209F" w14:textId="5DA7B2B4" w:rsidR="00872D7D" w:rsidRPr="00356A33" w:rsidRDefault="00872D7D" w:rsidP="00872D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AT&amp;T, she </w:t>
      </w:r>
      <w:r w:rsidR="00DC2494" w:rsidRPr="00356A33">
        <w:rPr>
          <w:rFonts w:asciiTheme="majorHAnsi" w:hAnsiTheme="majorHAnsi"/>
        </w:rPr>
        <w:t>and her team</w:t>
      </w:r>
      <w:r w:rsidR="00262F49">
        <w:rPr>
          <w:rFonts w:asciiTheme="majorHAnsi" w:hAnsiTheme="majorHAnsi"/>
        </w:rPr>
        <w:t>s</w:t>
      </w:r>
      <w:r w:rsidR="00DC2494" w:rsidRPr="00356A33">
        <w:rPr>
          <w:rFonts w:asciiTheme="majorHAnsi" w:hAnsiTheme="majorHAnsi"/>
        </w:rPr>
        <w:t xml:space="preserve"> handle</w:t>
      </w:r>
      <w:r w:rsidR="00262F49">
        <w:rPr>
          <w:rFonts w:asciiTheme="majorHAnsi" w:hAnsiTheme="majorHAnsi"/>
        </w:rPr>
        <w:t>d</w:t>
      </w:r>
      <w:r w:rsidR="00DC2494" w:rsidRPr="00356A33">
        <w:rPr>
          <w:rFonts w:asciiTheme="majorHAnsi" w:hAnsiTheme="majorHAnsi"/>
        </w:rPr>
        <w:t xml:space="preserve"> governm</w:t>
      </w:r>
      <w:r w:rsidR="00262F49">
        <w:rPr>
          <w:rFonts w:asciiTheme="majorHAnsi" w:hAnsiTheme="majorHAnsi"/>
        </w:rPr>
        <w:t xml:space="preserve">ent affairs, working with local, state and federal </w:t>
      </w:r>
      <w:r w:rsidR="00DC2494" w:rsidRPr="00356A33">
        <w:rPr>
          <w:rFonts w:asciiTheme="majorHAnsi" w:hAnsiTheme="majorHAnsi"/>
        </w:rPr>
        <w:t xml:space="preserve">officials on </w:t>
      </w:r>
      <w:r>
        <w:rPr>
          <w:rFonts w:asciiTheme="majorHAnsi" w:hAnsiTheme="majorHAnsi"/>
        </w:rPr>
        <w:t xml:space="preserve">diverse </w:t>
      </w:r>
      <w:r w:rsidR="00DC2494" w:rsidRPr="00356A33">
        <w:rPr>
          <w:rFonts w:asciiTheme="majorHAnsi" w:hAnsiTheme="majorHAnsi"/>
        </w:rPr>
        <w:t>business and technology issues</w:t>
      </w:r>
      <w:r w:rsidR="00262F49">
        <w:rPr>
          <w:rFonts w:asciiTheme="majorHAnsi" w:hAnsiTheme="majorHAnsi"/>
        </w:rPr>
        <w:t>.</w:t>
      </w:r>
      <w:r w:rsidR="00150C7B" w:rsidRPr="00150C7B">
        <w:rPr>
          <w:rFonts w:asciiTheme="majorHAnsi" w:hAnsiTheme="majorHAnsi"/>
        </w:rPr>
        <w:t xml:space="preserve"> </w:t>
      </w:r>
      <w:r w:rsidR="00150C7B">
        <w:rPr>
          <w:rFonts w:asciiTheme="majorHAnsi" w:hAnsiTheme="majorHAnsi"/>
        </w:rPr>
        <w:t xml:space="preserve">She </w:t>
      </w:r>
      <w:r>
        <w:rPr>
          <w:rFonts w:asciiTheme="majorHAnsi" w:hAnsiTheme="majorHAnsi"/>
        </w:rPr>
        <w:t>also oversaw the outreach to c</w:t>
      </w:r>
      <w:r w:rsidR="00150C7B">
        <w:rPr>
          <w:rFonts w:asciiTheme="majorHAnsi" w:hAnsiTheme="majorHAnsi"/>
        </w:rPr>
        <w:t>i</w:t>
      </w:r>
      <w:r w:rsidR="00150C7B" w:rsidRPr="00356A33">
        <w:rPr>
          <w:rFonts w:asciiTheme="majorHAnsi" w:hAnsiTheme="majorHAnsi"/>
        </w:rPr>
        <w:t xml:space="preserve">vic groups </w:t>
      </w:r>
      <w:r w:rsidR="00150C7B">
        <w:rPr>
          <w:rFonts w:asciiTheme="majorHAnsi" w:hAnsiTheme="majorHAnsi"/>
        </w:rPr>
        <w:t>on the company’s commitments to local communities</w:t>
      </w:r>
      <w:r>
        <w:rPr>
          <w:rFonts w:asciiTheme="majorHAnsi" w:hAnsiTheme="majorHAnsi"/>
        </w:rPr>
        <w:t>.</w:t>
      </w:r>
      <w:r w:rsidR="003B7F06">
        <w:rPr>
          <w:rFonts w:asciiTheme="majorHAnsi" w:hAnsiTheme="majorHAnsi"/>
        </w:rPr>
        <w:t xml:space="preserve"> </w:t>
      </w:r>
      <w:r w:rsidRPr="00356A33">
        <w:rPr>
          <w:rFonts w:asciiTheme="majorHAnsi" w:hAnsiTheme="majorHAnsi"/>
        </w:rPr>
        <w:t>In addition, she has served on the board of many local, regional and statewide organizations and non-profits.</w:t>
      </w:r>
    </w:p>
    <w:p w14:paraId="4CCD413D" w14:textId="77777777" w:rsidR="00872D7D" w:rsidRPr="007F27AD" w:rsidRDefault="00872D7D" w:rsidP="00150C7B">
      <w:pPr>
        <w:rPr>
          <w:rFonts w:asciiTheme="majorHAnsi" w:hAnsiTheme="majorHAnsi"/>
        </w:rPr>
      </w:pPr>
    </w:p>
    <w:p w14:paraId="794C93F4" w14:textId="77777777" w:rsidR="007F27AD" w:rsidRDefault="00150C7B" w:rsidP="00150C7B">
      <w:pPr>
        <w:rPr>
          <w:rFonts w:asciiTheme="majorHAnsi" w:hAnsiTheme="majorHAnsi"/>
        </w:rPr>
      </w:pPr>
      <w:r w:rsidRPr="007F27AD">
        <w:rPr>
          <w:rFonts w:asciiTheme="majorHAnsi" w:hAnsiTheme="majorHAnsi"/>
        </w:rPr>
        <w:t xml:space="preserve">“Holly </w:t>
      </w:r>
      <w:r w:rsidR="005A606B" w:rsidRPr="007F27AD">
        <w:rPr>
          <w:rFonts w:asciiTheme="majorHAnsi" w:hAnsiTheme="majorHAnsi"/>
        </w:rPr>
        <w:t xml:space="preserve">is a </w:t>
      </w:r>
      <w:r w:rsidR="007F27AD" w:rsidRPr="007F27AD">
        <w:rPr>
          <w:rFonts w:asciiTheme="majorHAnsi" w:hAnsiTheme="majorHAnsi"/>
        </w:rPr>
        <w:t xml:space="preserve">dynamic and </w:t>
      </w:r>
      <w:r w:rsidR="005A606B" w:rsidRPr="007F27AD">
        <w:rPr>
          <w:rFonts w:asciiTheme="majorHAnsi" w:hAnsiTheme="majorHAnsi"/>
        </w:rPr>
        <w:t xml:space="preserve">seasoned executive with exceptional </w:t>
      </w:r>
      <w:r w:rsidR="00631105" w:rsidRPr="007F27AD">
        <w:rPr>
          <w:rFonts w:asciiTheme="majorHAnsi" w:hAnsiTheme="majorHAnsi"/>
        </w:rPr>
        <w:t xml:space="preserve">knowledge and </w:t>
      </w:r>
      <w:r w:rsidR="007F27AD">
        <w:rPr>
          <w:rFonts w:asciiTheme="majorHAnsi" w:hAnsiTheme="majorHAnsi"/>
        </w:rPr>
        <w:t xml:space="preserve">vast </w:t>
      </w:r>
      <w:r w:rsidR="00631105" w:rsidRPr="007F27AD">
        <w:rPr>
          <w:rFonts w:asciiTheme="majorHAnsi" w:hAnsiTheme="majorHAnsi"/>
        </w:rPr>
        <w:t xml:space="preserve">relationships </w:t>
      </w:r>
      <w:r w:rsidR="00872D7D" w:rsidRPr="007F27AD">
        <w:rPr>
          <w:rFonts w:asciiTheme="majorHAnsi" w:hAnsiTheme="majorHAnsi"/>
        </w:rPr>
        <w:t>f</w:t>
      </w:r>
      <w:r w:rsidR="005A606B" w:rsidRPr="007F27AD">
        <w:rPr>
          <w:rFonts w:asciiTheme="majorHAnsi" w:hAnsiTheme="majorHAnsi"/>
        </w:rPr>
        <w:t xml:space="preserve">rom </w:t>
      </w:r>
      <w:r w:rsidR="00872D7D" w:rsidRPr="007F27AD">
        <w:rPr>
          <w:rFonts w:asciiTheme="majorHAnsi" w:hAnsiTheme="majorHAnsi"/>
        </w:rPr>
        <w:t>her work in Texas</w:t>
      </w:r>
      <w:r w:rsidR="005A606B" w:rsidRPr="007F27AD">
        <w:rPr>
          <w:rFonts w:asciiTheme="majorHAnsi" w:hAnsiTheme="majorHAnsi"/>
        </w:rPr>
        <w:t xml:space="preserve">. She has </w:t>
      </w:r>
      <w:r w:rsidR="00872D7D" w:rsidRPr="007F27AD">
        <w:rPr>
          <w:rFonts w:asciiTheme="majorHAnsi" w:hAnsiTheme="majorHAnsi"/>
        </w:rPr>
        <w:t xml:space="preserve">documented success in </w:t>
      </w:r>
      <w:r w:rsidR="00631105" w:rsidRPr="007F27AD">
        <w:rPr>
          <w:rFonts w:asciiTheme="majorHAnsi" w:hAnsiTheme="majorHAnsi"/>
        </w:rPr>
        <w:t>leading and meeting business objectives in a heavily regulated industry</w:t>
      </w:r>
      <w:r w:rsidR="00872D7D" w:rsidRPr="007F27AD">
        <w:rPr>
          <w:rFonts w:asciiTheme="majorHAnsi" w:hAnsiTheme="majorHAnsi"/>
        </w:rPr>
        <w:t xml:space="preserve">,” Keith said. </w:t>
      </w:r>
      <w:r w:rsidR="005A606B" w:rsidRPr="007F27AD">
        <w:rPr>
          <w:rFonts w:asciiTheme="majorHAnsi" w:hAnsiTheme="majorHAnsi"/>
        </w:rPr>
        <w:t xml:space="preserve"> </w:t>
      </w:r>
      <w:r w:rsidR="007F27AD" w:rsidRPr="007F27AD">
        <w:rPr>
          <w:rFonts w:asciiTheme="majorHAnsi" w:hAnsiTheme="majorHAnsi"/>
        </w:rPr>
        <w:t xml:space="preserve">“That experience </w:t>
      </w:r>
      <w:r w:rsidR="00DC7FBF">
        <w:rPr>
          <w:rFonts w:asciiTheme="majorHAnsi" w:hAnsiTheme="majorHAnsi"/>
        </w:rPr>
        <w:t xml:space="preserve">is </w:t>
      </w:r>
      <w:r w:rsidR="007F27AD">
        <w:rPr>
          <w:rFonts w:asciiTheme="majorHAnsi" w:hAnsiTheme="majorHAnsi"/>
        </w:rPr>
        <w:t>key as we engage more deeply with community and government stakeholders.”</w:t>
      </w:r>
    </w:p>
    <w:p w14:paraId="09D4ECD5" w14:textId="77777777" w:rsidR="004521CF" w:rsidRDefault="004521CF" w:rsidP="00150C7B">
      <w:pPr>
        <w:rPr>
          <w:rFonts w:asciiTheme="majorHAnsi" w:hAnsiTheme="majorHAnsi"/>
        </w:rPr>
      </w:pPr>
    </w:p>
    <w:p w14:paraId="488E5E27" w14:textId="77777777" w:rsidR="004F2B85" w:rsidRDefault="004F2B85" w:rsidP="00150C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Reed said she’s eager to join a leadership team involved in such a unique and innovative project for Texas. </w:t>
      </w:r>
    </w:p>
    <w:p w14:paraId="18BECF8B" w14:textId="77777777" w:rsidR="007F27AD" w:rsidRDefault="007F27AD" w:rsidP="00150C7B">
      <w:pPr>
        <w:rPr>
          <w:rFonts w:asciiTheme="majorHAnsi" w:hAnsiTheme="majorHAnsi"/>
        </w:rPr>
      </w:pPr>
    </w:p>
    <w:p w14:paraId="6B2CC503" w14:textId="77777777" w:rsidR="004E1C94" w:rsidRDefault="007E10C2" w:rsidP="007F27A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“Texas Central </w:t>
      </w:r>
      <w:r w:rsidR="00B72585">
        <w:rPr>
          <w:rFonts w:asciiTheme="majorHAnsi" w:hAnsiTheme="majorHAnsi"/>
        </w:rPr>
        <w:t xml:space="preserve">has </w:t>
      </w:r>
      <w:r>
        <w:rPr>
          <w:rFonts w:asciiTheme="majorHAnsi" w:hAnsiTheme="majorHAnsi"/>
        </w:rPr>
        <w:t xml:space="preserve">the </w:t>
      </w:r>
      <w:r w:rsidR="00B72585">
        <w:rPr>
          <w:rFonts w:asciiTheme="majorHAnsi" w:hAnsiTheme="majorHAnsi"/>
        </w:rPr>
        <w:t>vision to transform tra</w:t>
      </w:r>
      <w:r w:rsidR="004E1C94">
        <w:rPr>
          <w:rFonts w:asciiTheme="majorHAnsi" w:hAnsiTheme="majorHAnsi"/>
        </w:rPr>
        <w:t>vel</w:t>
      </w:r>
      <w:r w:rsidR="00B72585">
        <w:rPr>
          <w:rFonts w:asciiTheme="majorHAnsi" w:hAnsiTheme="majorHAnsi"/>
        </w:rPr>
        <w:t xml:space="preserve"> in our state, </w:t>
      </w:r>
      <w:r w:rsidR="004E1C94">
        <w:rPr>
          <w:rFonts w:asciiTheme="majorHAnsi" w:hAnsiTheme="majorHAnsi"/>
        </w:rPr>
        <w:t>relying on private-sector expertise and funding to keep</w:t>
      </w:r>
      <w:r>
        <w:rPr>
          <w:rFonts w:asciiTheme="majorHAnsi" w:hAnsiTheme="majorHAnsi"/>
        </w:rPr>
        <w:t xml:space="preserve"> pace with a growing population</w:t>
      </w:r>
      <w:r w:rsidR="004E1C94">
        <w:rPr>
          <w:rFonts w:asciiTheme="majorHAnsi" w:hAnsiTheme="majorHAnsi"/>
        </w:rPr>
        <w:t xml:space="preserve"> and </w:t>
      </w:r>
      <w:r>
        <w:rPr>
          <w:rFonts w:asciiTheme="majorHAnsi" w:hAnsiTheme="majorHAnsi"/>
        </w:rPr>
        <w:t xml:space="preserve">greater </w:t>
      </w:r>
      <w:r w:rsidR="004E1C94">
        <w:rPr>
          <w:rFonts w:asciiTheme="majorHAnsi" w:hAnsiTheme="majorHAnsi"/>
        </w:rPr>
        <w:t>transportation needs,” she said. “It’s an exciting project that will serve as a catalyst for economic benefits not only along the route but also throughout Texas.”</w:t>
      </w:r>
    </w:p>
    <w:p w14:paraId="2F8EE2CD" w14:textId="77777777" w:rsidR="004E1C94" w:rsidRDefault="004E1C94" w:rsidP="007F27AD">
      <w:pPr>
        <w:rPr>
          <w:rFonts w:asciiTheme="majorHAnsi" w:hAnsiTheme="majorHAnsi"/>
        </w:rPr>
      </w:pPr>
    </w:p>
    <w:p w14:paraId="179F9CBB" w14:textId="77777777" w:rsidR="004F2B85" w:rsidRDefault="004F2B85" w:rsidP="004F2B85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The two other newly named executives are:</w:t>
      </w:r>
    </w:p>
    <w:p w14:paraId="614C65A2" w14:textId="77777777" w:rsidR="004F2B85" w:rsidRDefault="004F2B85" w:rsidP="004F2B85">
      <w:pPr>
        <w:rPr>
          <w:rFonts w:asciiTheme="majorHAnsi" w:hAnsiTheme="majorHAnsi"/>
        </w:rPr>
      </w:pPr>
    </w:p>
    <w:p w14:paraId="4AE3DE6E" w14:textId="5CC1DDE1" w:rsidR="00995F65" w:rsidRPr="000406C1" w:rsidRDefault="004E1C94" w:rsidP="000406C1">
      <w:pPr>
        <w:widowControl w:val="0"/>
        <w:kinsoku w:val="0"/>
        <w:overflowPunct w:val="0"/>
        <w:autoSpaceDE w:val="0"/>
        <w:autoSpaceDN w:val="0"/>
        <w:adjustRightInd w:val="0"/>
        <w:ind w:left="37" w:right="99"/>
        <w:rPr>
          <w:rFonts w:asciiTheme="majorHAnsi" w:hAnsiTheme="majorHAnsi" w:cs="Calibri"/>
        </w:rPr>
      </w:pPr>
      <w:r w:rsidRPr="00995F65">
        <w:rPr>
          <w:rFonts w:asciiTheme="majorHAnsi" w:hAnsiTheme="majorHAnsi"/>
          <w:b/>
        </w:rPr>
        <w:t>Doug Jones</w:t>
      </w:r>
      <w:r>
        <w:rPr>
          <w:rFonts w:asciiTheme="majorHAnsi" w:hAnsiTheme="majorHAnsi"/>
        </w:rPr>
        <w:t xml:space="preserve">, </w:t>
      </w:r>
      <w:r w:rsidR="00EF7B2B">
        <w:rPr>
          <w:rFonts w:asciiTheme="majorHAnsi" w:hAnsiTheme="majorHAnsi"/>
        </w:rPr>
        <w:t>as managing director</w:t>
      </w:r>
      <w:r w:rsidR="000406C1">
        <w:rPr>
          <w:rFonts w:asciiTheme="majorHAnsi" w:hAnsiTheme="majorHAnsi"/>
        </w:rPr>
        <w:t>,</w:t>
      </w:r>
      <w:r w:rsidR="00EF7B2B">
        <w:rPr>
          <w:rFonts w:asciiTheme="majorHAnsi" w:hAnsiTheme="majorHAnsi"/>
        </w:rPr>
        <w:t xml:space="preserve"> design build program. He is </w:t>
      </w:r>
      <w:r>
        <w:rPr>
          <w:rFonts w:asciiTheme="majorHAnsi" w:hAnsiTheme="majorHAnsi"/>
        </w:rPr>
        <w:t>a 3</w:t>
      </w:r>
      <w:r w:rsidR="0032798E">
        <w:rPr>
          <w:rFonts w:asciiTheme="majorHAnsi" w:hAnsiTheme="majorHAnsi"/>
        </w:rPr>
        <w:t>8</w:t>
      </w:r>
      <w:r>
        <w:rPr>
          <w:rFonts w:asciiTheme="majorHAnsi" w:hAnsiTheme="majorHAnsi"/>
        </w:rPr>
        <w:t>-</w:t>
      </w:r>
      <w:r w:rsidR="004F2B85" w:rsidRPr="00356A33">
        <w:rPr>
          <w:rFonts w:asciiTheme="majorHAnsi" w:hAnsiTheme="majorHAnsi"/>
        </w:rPr>
        <w:t>year construction veteran</w:t>
      </w:r>
      <w:r w:rsidR="0032798E">
        <w:rPr>
          <w:rFonts w:asciiTheme="majorHAnsi" w:hAnsiTheme="majorHAnsi"/>
        </w:rPr>
        <w:t>,</w:t>
      </w:r>
      <w:r w:rsidR="004F2B85" w:rsidRPr="00356A33">
        <w:rPr>
          <w:rFonts w:asciiTheme="majorHAnsi" w:hAnsiTheme="majorHAnsi"/>
        </w:rPr>
        <w:t xml:space="preserve"> </w:t>
      </w:r>
      <w:r w:rsidR="003B7F06">
        <w:rPr>
          <w:rFonts w:asciiTheme="majorHAnsi" w:hAnsiTheme="majorHAnsi"/>
        </w:rPr>
        <w:t xml:space="preserve">formerly </w:t>
      </w:r>
      <w:r w:rsidR="004F2B85" w:rsidRPr="00356A33">
        <w:rPr>
          <w:rFonts w:asciiTheme="majorHAnsi" w:hAnsiTheme="majorHAnsi"/>
        </w:rPr>
        <w:t>with Balfour Beatty</w:t>
      </w:r>
      <w:r w:rsidR="007E10C2">
        <w:rPr>
          <w:rFonts w:asciiTheme="majorHAnsi" w:hAnsiTheme="majorHAnsi"/>
        </w:rPr>
        <w:t xml:space="preserve"> Construction.</w:t>
      </w:r>
    </w:p>
    <w:p w14:paraId="22D8EEFD" w14:textId="77777777" w:rsidR="00995F65" w:rsidRDefault="00995F65" w:rsidP="00C50C7C">
      <w:pPr>
        <w:rPr>
          <w:rFonts w:asciiTheme="majorHAnsi" w:hAnsiTheme="majorHAnsi"/>
        </w:rPr>
      </w:pPr>
    </w:p>
    <w:p w14:paraId="77552F42" w14:textId="6272F3DC" w:rsidR="00995F65" w:rsidRDefault="004F2B85" w:rsidP="00C50C7C">
      <w:pPr>
        <w:rPr>
          <w:rFonts w:asciiTheme="majorHAnsi" w:hAnsiTheme="majorHAnsi"/>
        </w:rPr>
      </w:pPr>
      <w:r w:rsidRPr="00356A33">
        <w:rPr>
          <w:rFonts w:asciiTheme="majorHAnsi" w:hAnsiTheme="majorHAnsi"/>
        </w:rPr>
        <w:t>During his career</w:t>
      </w:r>
      <w:r w:rsidR="007E10C2">
        <w:rPr>
          <w:rFonts w:asciiTheme="majorHAnsi" w:hAnsiTheme="majorHAnsi"/>
        </w:rPr>
        <w:t>,</w:t>
      </w:r>
      <w:r w:rsidRPr="00356A33">
        <w:rPr>
          <w:rFonts w:asciiTheme="majorHAnsi" w:hAnsiTheme="majorHAnsi"/>
        </w:rPr>
        <w:t xml:space="preserve"> he </w:t>
      </w:r>
      <w:r w:rsidR="00C50C7C">
        <w:rPr>
          <w:rFonts w:asciiTheme="majorHAnsi" w:hAnsiTheme="majorHAnsi"/>
        </w:rPr>
        <w:t xml:space="preserve">managed major projects and </w:t>
      </w:r>
      <w:r w:rsidRPr="00356A33">
        <w:rPr>
          <w:rFonts w:asciiTheme="majorHAnsi" w:hAnsiTheme="majorHAnsi"/>
        </w:rPr>
        <w:t>has held positions of increasing responsibility</w:t>
      </w:r>
      <w:r w:rsidR="00EF7B2B">
        <w:rPr>
          <w:rFonts w:asciiTheme="majorHAnsi" w:hAnsiTheme="majorHAnsi"/>
        </w:rPr>
        <w:t xml:space="preserve">.  Doug was </w:t>
      </w:r>
      <w:r w:rsidRPr="00356A33">
        <w:rPr>
          <w:rFonts w:asciiTheme="majorHAnsi" w:hAnsiTheme="majorHAnsi"/>
        </w:rPr>
        <w:t xml:space="preserve">most recently </w:t>
      </w:r>
      <w:r w:rsidR="00EF7B2B">
        <w:rPr>
          <w:rFonts w:asciiTheme="majorHAnsi" w:hAnsiTheme="majorHAnsi"/>
        </w:rPr>
        <w:t>the</w:t>
      </w:r>
      <w:r w:rsidR="00933AB3">
        <w:rPr>
          <w:rFonts w:asciiTheme="majorHAnsi" w:hAnsiTheme="majorHAnsi"/>
        </w:rPr>
        <w:t xml:space="preserve"> </w:t>
      </w:r>
      <w:r w:rsidRPr="00356A33">
        <w:rPr>
          <w:rFonts w:asciiTheme="majorHAnsi" w:hAnsiTheme="majorHAnsi"/>
        </w:rPr>
        <w:t xml:space="preserve">CEO of the </w:t>
      </w:r>
      <w:r w:rsidR="00EF7B2B">
        <w:rPr>
          <w:rFonts w:asciiTheme="majorHAnsi" w:hAnsiTheme="majorHAnsi"/>
        </w:rPr>
        <w:t xml:space="preserve">Balfour Beatty’s </w:t>
      </w:r>
      <w:r w:rsidRPr="00356A33">
        <w:rPr>
          <w:rFonts w:asciiTheme="majorHAnsi" w:hAnsiTheme="majorHAnsi"/>
        </w:rPr>
        <w:t>Central Region</w:t>
      </w:r>
      <w:r w:rsidR="007E10C2">
        <w:rPr>
          <w:rFonts w:asciiTheme="majorHAnsi" w:hAnsiTheme="majorHAnsi"/>
        </w:rPr>
        <w:t>,</w:t>
      </w:r>
      <w:r w:rsidRPr="00356A33">
        <w:rPr>
          <w:rFonts w:asciiTheme="majorHAnsi" w:hAnsiTheme="majorHAnsi"/>
        </w:rPr>
        <w:t xml:space="preserve"> comprised of Texas and surrounding states</w:t>
      </w:r>
      <w:r w:rsidR="007E10C2">
        <w:rPr>
          <w:rFonts w:asciiTheme="majorHAnsi" w:hAnsiTheme="majorHAnsi"/>
        </w:rPr>
        <w:t>,</w:t>
      </w:r>
      <w:r w:rsidRPr="00356A33">
        <w:rPr>
          <w:rFonts w:asciiTheme="majorHAnsi" w:hAnsiTheme="majorHAnsi"/>
        </w:rPr>
        <w:t xml:space="preserve"> with oversight of $1.4 billion </w:t>
      </w:r>
      <w:r w:rsidR="00C50C7C">
        <w:rPr>
          <w:rFonts w:asciiTheme="majorHAnsi" w:hAnsiTheme="majorHAnsi"/>
        </w:rPr>
        <w:t xml:space="preserve">in </w:t>
      </w:r>
      <w:r w:rsidRPr="00356A33">
        <w:rPr>
          <w:rFonts w:asciiTheme="majorHAnsi" w:hAnsiTheme="majorHAnsi"/>
        </w:rPr>
        <w:t>annual revenue.</w:t>
      </w:r>
      <w:r w:rsidR="00995F65">
        <w:rPr>
          <w:rFonts w:asciiTheme="majorHAnsi" w:hAnsiTheme="majorHAnsi"/>
        </w:rPr>
        <w:t xml:space="preserve"> </w:t>
      </w:r>
      <w:r w:rsidR="006249C0" w:rsidRPr="00356A33">
        <w:rPr>
          <w:rFonts w:asciiTheme="majorHAnsi" w:hAnsiTheme="majorHAnsi"/>
        </w:rPr>
        <w:t>He</w:t>
      </w:r>
      <w:r w:rsidR="006249C0">
        <w:rPr>
          <w:rFonts w:asciiTheme="majorHAnsi" w:hAnsiTheme="majorHAnsi"/>
        </w:rPr>
        <w:t xml:space="preserve"> is a founding member and past c</w:t>
      </w:r>
      <w:r w:rsidR="006249C0" w:rsidRPr="00356A33">
        <w:rPr>
          <w:rFonts w:asciiTheme="majorHAnsi" w:hAnsiTheme="majorHAnsi"/>
        </w:rPr>
        <w:t>hairman of the Construction Industry Outreach Advisory Council, a group</w:t>
      </w:r>
      <w:r w:rsidR="006249C0">
        <w:rPr>
          <w:rFonts w:asciiTheme="majorHAnsi" w:hAnsiTheme="majorHAnsi"/>
        </w:rPr>
        <w:t xml:space="preserve"> that promotes </w:t>
      </w:r>
      <w:r w:rsidR="006249C0" w:rsidRPr="00356A33">
        <w:rPr>
          <w:rFonts w:asciiTheme="majorHAnsi" w:hAnsiTheme="majorHAnsi"/>
        </w:rPr>
        <w:t>diversity in the construction industry.</w:t>
      </w:r>
    </w:p>
    <w:p w14:paraId="1A02DE88" w14:textId="77777777" w:rsidR="00C50C7C" w:rsidRDefault="00C50C7C" w:rsidP="004F2B85">
      <w:pPr>
        <w:rPr>
          <w:rFonts w:asciiTheme="majorHAnsi" w:hAnsiTheme="majorHAnsi"/>
        </w:rPr>
      </w:pPr>
    </w:p>
    <w:p w14:paraId="06535111" w14:textId="6836FBE4" w:rsidR="00AD3B82" w:rsidRDefault="00AD3B82" w:rsidP="00AD3B82">
      <w:pPr>
        <w:rPr>
          <w:rFonts w:asciiTheme="majorHAnsi" w:hAnsiTheme="majorHAnsi"/>
        </w:rPr>
      </w:pPr>
      <w:r>
        <w:rPr>
          <w:rFonts w:asciiTheme="majorHAnsi" w:hAnsiTheme="majorHAnsi"/>
        </w:rPr>
        <w:t>“Doug brings an extensive construction background, especially in guiding emerging businesses and initiatives. He will play a vital and strategic role as we progress beyond our project’s design and development phase and into construction,” Keith said.</w:t>
      </w:r>
    </w:p>
    <w:p w14:paraId="0B7F3FB5" w14:textId="77777777" w:rsidR="00A34EE1" w:rsidRDefault="00A34EE1" w:rsidP="004F2B85">
      <w:pPr>
        <w:rPr>
          <w:rFonts w:asciiTheme="majorHAnsi" w:hAnsiTheme="majorHAnsi"/>
        </w:rPr>
      </w:pPr>
    </w:p>
    <w:p w14:paraId="2BBBC0B9" w14:textId="48FFFFC7" w:rsidR="00995F65" w:rsidRDefault="004F2B85" w:rsidP="00995F65">
      <w:pPr>
        <w:rPr>
          <w:rFonts w:asciiTheme="majorHAnsi" w:hAnsiTheme="majorHAnsi"/>
        </w:rPr>
      </w:pPr>
      <w:r w:rsidRPr="00995F65">
        <w:rPr>
          <w:rFonts w:asciiTheme="majorHAnsi" w:hAnsiTheme="majorHAnsi"/>
          <w:b/>
        </w:rPr>
        <w:t>Lori Wil</w:t>
      </w:r>
      <w:r w:rsidR="000D70E2" w:rsidRPr="000D70E2">
        <w:rPr>
          <w:rFonts w:asciiTheme="majorHAnsi" w:hAnsiTheme="majorHAnsi"/>
          <w:b/>
        </w:rPr>
        <w:t>l</w:t>
      </w:r>
      <w:r w:rsidRPr="00995F65">
        <w:rPr>
          <w:rFonts w:asciiTheme="majorHAnsi" w:hAnsiTheme="majorHAnsi"/>
          <w:b/>
        </w:rPr>
        <w:t>ox</w:t>
      </w:r>
      <w:r w:rsidRPr="00356A33">
        <w:rPr>
          <w:rFonts w:asciiTheme="majorHAnsi" w:hAnsiTheme="majorHAnsi"/>
        </w:rPr>
        <w:t xml:space="preserve">, </w:t>
      </w:r>
      <w:r w:rsidR="004521CF">
        <w:rPr>
          <w:rFonts w:asciiTheme="majorHAnsi" w:hAnsiTheme="majorHAnsi"/>
        </w:rPr>
        <w:t xml:space="preserve">a CPA </w:t>
      </w:r>
      <w:r w:rsidRPr="00356A33">
        <w:rPr>
          <w:rFonts w:asciiTheme="majorHAnsi" w:hAnsiTheme="majorHAnsi"/>
        </w:rPr>
        <w:t xml:space="preserve">with 25 years of experience in accounting and finance, </w:t>
      </w:r>
      <w:r w:rsidR="00C50C7C">
        <w:rPr>
          <w:rFonts w:asciiTheme="majorHAnsi" w:hAnsiTheme="majorHAnsi"/>
        </w:rPr>
        <w:t xml:space="preserve">as </w:t>
      </w:r>
      <w:r w:rsidR="000D70E2">
        <w:rPr>
          <w:rFonts w:asciiTheme="majorHAnsi" w:hAnsiTheme="majorHAnsi"/>
        </w:rPr>
        <w:t>c</w:t>
      </w:r>
      <w:r w:rsidR="003B7F06">
        <w:rPr>
          <w:rFonts w:asciiTheme="majorHAnsi" w:hAnsiTheme="majorHAnsi"/>
        </w:rPr>
        <w:t xml:space="preserve">hief </w:t>
      </w:r>
      <w:r w:rsidR="000D70E2">
        <w:rPr>
          <w:rFonts w:asciiTheme="majorHAnsi" w:hAnsiTheme="majorHAnsi"/>
        </w:rPr>
        <w:t>f</w:t>
      </w:r>
      <w:r w:rsidR="003B7F06">
        <w:rPr>
          <w:rFonts w:asciiTheme="majorHAnsi" w:hAnsiTheme="majorHAnsi"/>
        </w:rPr>
        <w:t xml:space="preserve">inancial </w:t>
      </w:r>
      <w:r w:rsidR="000D70E2">
        <w:rPr>
          <w:rFonts w:asciiTheme="majorHAnsi" w:hAnsiTheme="majorHAnsi"/>
        </w:rPr>
        <w:t>o</w:t>
      </w:r>
      <w:r w:rsidR="003B7F06">
        <w:rPr>
          <w:rFonts w:asciiTheme="majorHAnsi" w:hAnsiTheme="majorHAnsi"/>
        </w:rPr>
        <w:t>fficer.</w:t>
      </w:r>
      <w:r w:rsidR="00C50C7C">
        <w:rPr>
          <w:rFonts w:asciiTheme="majorHAnsi" w:hAnsiTheme="majorHAnsi"/>
        </w:rPr>
        <w:t xml:space="preserve"> </w:t>
      </w:r>
    </w:p>
    <w:p w14:paraId="5CDD3500" w14:textId="77777777" w:rsidR="00995F65" w:rsidRDefault="00995F65" w:rsidP="00995F65">
      <w:pPr>
        <w:rPr>
          <w:rFonts w:asciiTheme="majorHAnsi" w:hAnsiTheme="majorHAnsi"/>
        </w:rPr>
      </w:pPr>
    </w:p>
    <w:p w14:paraId="2D4718E4" w14:textId="20044B3D" w:rsidR="00995F65" w:rsidRPr="00356A33" w:rsidRDefault="00C50C7C" w:rsidP="00995F65">
      <w:pPr>
        <w:rPr>
          <w:rFonts w:asciiTheme="majorHAnsi" w:hAnsiTheme="majorHAnsi"/>
        </w:rPr>
      </w:pPr>
      <w:r>
        <w:rPr>
          <w:rFonts w:asciiTheme="majorHAnsi" w:hAnsiTheme="majorHAnsi"/>
        </w:rPr>
        <w:t>Wil</w:t>
      </w:r>
      <w:r w:rsidR="000D70E2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ox </w:t>
      </w:r>
      <w:r w:rsidR="004F2B85" w:rsidRPr="00356A33">
        <w:rPr>
          <w:rFonts w:asciiTheme="majorHAnsi" w:hAnsiTheme="majorHAnsi"/>
        </w:rPr>
        <w:t xml:space="preserve">most </w:t>
      </w:r>
      <w:r>
        <w:rPr>
          <w:rFonts w:asciiTheme="majorHAnsi" w:hAnsiTheme="majorHAnsi"/>
        </w:rPr>
        <w:t xml:space="preserve">recently </w:t>
      </w:r>
      <w:r w:rsidR="004F2B85" w:rsidRPr="00356A33">
        <w:rPr>
          <w:rFonts w:asciiTheme="majorHAnsi" w:hAnsiTheme="majorHAnsi"/>
        </w:rPr>
        <w:t>serv</w:t>
      </w:r>
      <w:r>
        <w:rPr>
          <w:rFonts w:asciiTheme="majorHAnsi" w:hAnsiTheme="majorHAnsi"/>
        </w:rPr>
        <w:t xml:space="preserve">ed as a senior vice president and </w:t>
      </w:r>
      <w:r w:rsidR="004F2B85" w:rsidRPr="00356A33">
        <w:rPr>
          <w:rFonts w:asciiTheme="majorHAnsi" w:hAnsiTheme="majorHAnsi"/>
        </w:rPr>
        <w:t>CFO for Balfour Beatty’s Central region</w:t>
      </w:r>
      <w:r w:rsidR="00995F65">
        <w:rPr>
          <w:rFonts w:asciiTheme="majorHAnsi" w:hAnsiTheme="majorHAnsi"/>
        </w:rPr>
        <w:t xml:space="preserve">, </w:t>
      </w:r>
      <w:r w:rsidR="00995F65" w:rsidRPr="00356A33">
        <w:rPr>
          <w:rFonts w:asciiTheme="majorHAnsi" w:hAnsiTheme="majorHAnsi"/>
        </w:rPr>
        <w:t>responsible for strategy, accounting functions, operational and sales</w:t>
      </w:r>
    </w:p>
    <w:p w14:paraId="1B92BF24" w14:textId="77777777" w:rsidR="004F2B85" w:rsidRPr="00356A33" w:rsidRDefault="00995F65" w:rsidP="004F2B85">
      <w:pPr>
        <w:rPr>
          <w:rFonts w:asciiTheme="majorHAnsi" w:hAnsiTheme="majorHAnsi"/>
        </w:rPr>
      </w:pPr>
      <w:proofErr w:type="gramStart"/>
      <w:r w:rsidRPr="00356A33">
        <w:rPr>
          <w:rFonts w:asciiTheme="majorHAnsi" w:hAnsiTheme="majorHAnsi"/>
        </w:rPr>
        <w:t>support</w:t>
      </w:r>
      <w:proofErr w:type="gramEnd"/>
      <w:r w:rsidRPr="00356A33">
        <w:rPr>
          <w:rFonts w:asciiTheme="majorHAnsi" w:hAnsiTheme="majorHAnsi"/>
        </w:rPr>
        <w:t>, and risk management.</w:t>
      </w:r>
      <w:r>
        <w:rPr>
          <w:rFonts w:asciiTheme="majorHAnsi" w:hAnsiTheme="majorHAnsi"/>
        </w:rPr>
        <w:t xml:space="preserve"> She also has been </w:t>
      </w:r>
      <w:r w:rsidR="004F2B85" w:rsidRPr="00356A33">
        <w:rPr>
          <w:rFonts w:asciiTheme="majorHAnsi" w:hAnsiTheme="majorHAnsi"/>
        </w:rPr>
        <w:t xml:space="preserve">involved in </w:t>
      </w:r>
      <w:r>
        <w:rPr>
          <w:rFonts w:asciiTheme="majorHAnsi" w:hAnsiTheme="majorHAnsi"/>
        </w:rPr>
        <w:t xml:space="preserve">major </w:t>
      </w:r>
      <w:r w:rsidR="004F2B85" w:rsidRPr="00356A33">
        <w:rPr>
          <w:rFonts w:asciiTheme="majorHAnsi" w:hAnsiTheme="majorHAnsi"/>
        </w:rPr>
        <w:t>construction industry</w:t>
      </w:r>
      <w:r>
        <w:rPr>
          <w:rFonts w:asciiTheme="majorHAnsi" w:hAnsiTheme="majorHAnsi"/>
        </w:rPr>
        <w:t xml:space="preserve"> projects, with </w:t>
      </w:r>
      <w:r w:rsidR="004F2B85" w:rsidRPr="00356A33">
        <w:rPr>
          <w:rFonts w:asciiTheme="majorHAnsi" w:hAnsiTheme="majorHAnsi"/>
        </w:rPr>
        <w:t>Balfour Beatty and previously at Turner Construction.</w:t>
      </w:r>
    </w:p>
    <w:p w14:paraId="67BB9986" w14:textId="77777777" w:rsidR="00995F65" w:rsidRDefault="00995F65" w:rsidP="00C50C7C">
      <w:pPr>
        <w:rPr>
          <w:rFonts w:asciiTheme="majorHAnsi" w:hAnsiTheme="majorHAnsi"/>
        </w:rPr>
      </w:pPr>
    </w:p>
    <w:p w14:paraId="22FD9488" w14:textId="75B34640" w:rsidR="00DC7FBF" w:rsidRDefault="00DC7FBF" w:rsidP="00DB1D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new </w:t>
      </w:r>
      <w:r w:rsidRPr="00356A33">
        <w:rPr>
          <w:rFonts w:asciiTheme="majorHAnsi" w:hAnsiTheme="majorHAnsi"/>
        </w:rPr>
        <w:t>positions will report directly to Keith</w:t>
      </w:r>
      <w:r>
        <w:rPr>
          <w:rFonts w:asciiTheme="majorHAnsi" w:hAnsiTheme="majorHAnsi"/>
        </w:rPr>
        <w:t xml:space="preserve">, who said the </w:t>
      </w:r>
      <w:r w:rsidR="004521CF">
        <w:rPr>
          <w:rFonts w:asciiTheme="majorHAnsi" w:hAnsiTheme="majorHAnsi"/>
        </w:rPr>
        <w:t>appointments reflect the continued strength of Texas Central’s operati</w:t>
      </w:r>
      <w:r w:rsidR="003B7F06">
        <w:rPr>
          <w:rFonts w:asciiTheme="majorHAnsi" w:hAnsiTheme="majorHAnsi"/>
        </w:rPr>
        <w:t>ng team</w:t>
      </w:r>
      <w:r w:rsidR="004521CF">
        <w:rPr>
          <w:rFonts w:asciiTheme="majorHAnsi" w:hAnsiTheme="majorHAnsi"/>
        </w:rPr>
        <w:t xml:space="preserve"> as it pushes ahead with its high-speed </w:t>
      </w:r>
      <w:r w:rsidR="003B7F06">
        <w:rPr>
          <w:rFonts w:asciiTheme="majorHAnsi" w:hAnsiTheme="majorHAnsi"/>
        </w:rPr>
        <w:t xml:space="preserve">rail </w:t>
      </w:r>
      <w:r w:rsidR="004521CF">
        <w:rPr>
          <w:rFonts w:asciiTheme="majorHAnsi" w:hAnsiTheme="majorHAnsi"/>
        </w:rPr>
        <w:t>plans</w:t>
      </w:r>
      <w:r w:rsidR="00933AB3">
        <w:rPr>
          <w:rFonts w:asciiTheme="majorHAnsi" w:hAnsiTheme="majorHAnsi"/>
        </w:rPr>
        <w:t>. Construction is scheduled to begin</w:t>
      </w:r>
      <w:r w:rsidR="00867566">
        <w:rPr>
          <w:rFonts w:asciiTheme="majorHAnsi" w:hAnsiTheme="majorHAnsi"/>
        </w:rPr>
        <w:t xml:space="preserve"> in 2017</w:t>
      </w:r>
      <w:r w:rsidR="004521CF">
        <w:rPr>
          <w:rFonts w:asciiTheme="majorHAnsi" w:hAnsiTheme="majorHAnsi"/>
        </w:rPr>
        <w:t xml:space="preserve">. </w:t>
      </w:r>
    </w:p>
    <w:p w14:paraId="7537D9A1" w14:textId="77777777" w:rsidR="00DC7FBF" w:rsidRDefault="00DC7FBF" w:rsidP="00DB1D83">
      <w:pPr>
        <w:rPr>
          <w:rFonts w:asciiTheme="majorHAnsi" w:hAnsiTheme="majorHAnsi"/>
        </w:rPr>
      </w:pPr>
    </w:p>
    <w:p w14:paraId="7AA4E67A" w14:textId="6EF6D480" w:rsidR="00DC7FBF" w:rsidRDefault="004521CF" w:rsidP="00DB1D83">
      <w:pPr>
        <w:rPr>
          <w:rFonts w:asciiTheme="majorHAnsi" w:hAnsiTheme="majorHAnsi"/>
        </w:rPr>
      </w:pPr>
      <w:r>
        <w:rPr>
          <w:rFonts w:asciiTheme="majorHAnsi" w:hAnsiTheme="majorHAnsi"/>
        </w:rPr>
        <w:t>“</w:t>
      </w:r>
      <w:r w:rsidR="00DC7FBF">
        <w:rPr>
          <w:rFonts w:asciiTheme="majorHAnsi" w:hAnsiTheme="majorHAnsi"/>
        </w:rPr>
        <w:t>Th</w:t>
      </w:r>
      <w:r w:rsidR="002C41B8">
        <w:rPr>
          <w:rFonts w:asciiTheme="majorHAnsi" w:hAnsiTheme="majorHAnsi"/>
        </w:rPr>
        <w:t>ese</w:t>
      </w:r>
      <w:r w:rsidR="00DC7FBF">
        <w:rPr>
          <w:rFonts w:asciiTheme="majorHAnsi" w:hAnsiTheme="majorHAnsi"/>
        </w:rPr>
        <w:t xml:space="preserve"> </w:t>
      </w:r>
      <w:r w:rsidR="00EF7B2B">
        <w:rPr>
          <w:rFonts w:asciiTheme="majorHAnsi" w:hAnsiTheme="majorHAnsi"/>
        </w:rPr>
        <w:t>executives</w:t>
      </w:r>
      <w:r w:rsidR="00DC7FBF">
        <w:rPr>
          <w:rFonts w:asciiTheme="majorHAnsi" w:hAnsiTheme="majorHAnsi"/>
        </w:rPr>
        <w:t xml:space="preserve"> bring</w:t>
      </w:r>
      <w:r w:rsidR="00EF7B2B">
        <w:rPr>
          <w:rFonts w:asciiTheme="majorHAnsi" w:hAnsiTheme="majorHAnsi"/>
        </w:rPr>
        <w:t xml:space="preserve"> additional</w:t>
      </w:r>
      <w:r w:rsidR="00DC7FBF">
        <w:rPr>
          <w:rFonts w:asciiTheme="majorHAnsi" w:hAnsiTheme="majorHAnsi"/>
        </w:rPr>
        <w:t xml:space="preserve"> </w:t>
      </w:r>
      <w:r w:rsidR="00EF7B2B">
        <w:rPr>
          <w:rFonts w:asciiTheme="majorHAnsi" w:hAnsiTheme="majorHAnsi"/>
        </w:rPr>
        <w:t xml:space="preserve">experience, relationships </w:t>
      </w:r>
      <w:r w:rsidR="006249C0">
        <w:rPr>
          <w:rFonts w:asciiTheme="majorHAnsi" w:hAnsiTheme="majorHAnsi"/>
        </w:rPr>
        <w:t xml:space="preserve">and </w:t>
      </w:r>
      <w:r w:rsidR="00DC7FBF">
        <w:rPr>
          <w:rFonts w:asciiTheme="majorHAnsi" w:hAnsiTheme="majorHAnsi"/>
        </w:rPr>
        <w:t>credibility that is important to us as we continue to build support among local officials and other third-party groups and Texans interested in our project,” he said.</w:t>
      </w:r>
    </w:p>
    <w:p w14:paraId="232AD33A" w14:textId="77777777" w:rsidR="004521CF" w:rsidRPr="00356A33" w:rsidRDefault="004521CF" w:rsidP="00DB1D83">
      <w:pPr>
        <w:rPr>
          <w:rFonts w:asciiTheme="majorHAnsi" w:hAnsiTheme="majorHAnsi"/>
        </w:rPr>
      </w:pPr>
    </w:p>
    <w:p w14:paraId="3CF62A1E" w14:textId="77777777" w:rsidR="006249C0" w:rsidRDefault="00DC7FBF" w:rsidP="00DB1D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executive changes are the latest of </w:t>
      </w:r>
      <w:r w:rsidR="00DB1D83" w:rsidRPr="00356A33">
        <w:rPr>
          <w:rFonts w:asciiTheme="majorHAnsi" w:hAnsiTheme="majorHAnsi"/>
        </w:rPr>
        <w:t xml:space="preserve">several milestones </w:t>
      </w:r>
      <w:r>
        <w:rPr>
          <w:rFonts w:asciiTheme="majorHAnsi" w:hAnsiTheme="majorHAnsi"/>
        </w:rPr>
        <w:t xml:space="preserve">Texas Central has achieved </w:t>
      </w:r>
      <w:r w:rsidR="00DB1D83" w:rsidRPr="00356A33">
        <w:rPr>
          <w:rFonts w:asciiTheme="majorHAnsi" w:hAnsiTheme="majorHAnsi"/>
        </w:rPr>
        <w:t>in the last half of 2015</w:t>
      </w:r>
      <w:r>
        <w:rPr>
          <w:rFonts w:asciiTheme="majorHAnsi" w:hAnsiTheme="majorHAnsi"/>
        </w:rPr>
        <w:t>, inc</w:t>
      </w:r>
      <w:r w:rsidR="00867566">
        <w:rPr>
          <w:rFonts w:asciiTheme="majorHAnsi" w:hAnsiTheme="majorHAnsi"/>
        </w:rPr>
        <w:t>l</w:t>
      </w:r>
      <w:r w:rsidR="006249C0">
        <w:rPr>
          <w:rFonts w:asciiTheme="majorHAnsi" w:hAnsiTheme="majorHAnsi"/>
        </w:rPr>
        <w:t>uding:</w:t>
      </w:r>
    </w:p>
    <w:p w14:paraId="4ABA96C4" w14:textId="77777777" w:rsidR="003B7F06" w:rsidRDefault="003B7F06" w:rsidP="009906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0681">
        <w:rPr>
          <w:rFonts w:asciiTheme="majorHAnsi" w:hAnsiTheme="majorHAnsi"/>
        </w:rPr>
        <w:t xml:space="preserve">First-round, development funding of $75 million </w:t>
      </w:r>
      <w:r>
        <w:rPr>
          <w:rFonts w:asciiTheme="majorHAnsi" w:hAnsiTheme="majorHAnsi"/>
        </w:rPr>
        <w:t xml:space="preserve">secured </w:t>
      </w:r>
      <w:r w:rsidRPr="00990681">
        <w:rPr>
          <w:rFonts w:asciiTheme="majorHAnsi" w:hAnsiTheme="majorHAnsi"/>
        </w:rPr>
        <w:t>from Texas investors.</w:t>
      </w:r>
    </w:p>
    <w:p w14:paraId="7336BD2F" w14:textId="77777777" w:rsidR="00DB1D83" w:rsidRPr="00990681" w:rsidRDefault="00867566" w:rsidP="009906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0681">
        <w:rPr>
          <w:rFonts w:asciiTheme="majorHAnsi" w:hAnsiTheme="majorHAnsi"/>
        </w:rPr>
        <w:t xml:space="preserve">Keith’s appointment as </w:t>
      </w:r>
      <w:r w:rsidR="00DB1D83" w:rsidRPr="00990681">
        <w:rPr>
          <w:rFonts w:asciiTheme="majorHAnsi" w:hAnsiTheme="majorHAnsi"/>
        </w:rPr>
        <w:t>CEO</w:t>
      </w:r>
      <w:r w:rsidRPr="00990681">
        <w:rPr>
          <w:rFonts w:asciiTheme="majorHAnsi" w:hAnsiTheme="majorHAnsi"/>
        </w:rPr>
        <w:t>.</w:t>
      </w:r>
    </w:p>
    <w:p w14:paraId="4BB04E8B" w14:textId="00CD7317" w:rsidR="00DB1D83" w:rsidRPr="00C46F25" w:rsidRDefault="00DB1D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0681">
        <w:rPr>
          <w:rFonts w:asciiTheme="majorHAnsi" w:hAnsiTheme="majorHAnsi"/>
        </w:rPr>
        <w:t>Texas Central Partners board members announced</w:t>
      </w:r>
      <w:r w:rsidR="00867566" w:rsidRPr="00990681">
        <w:rPr>
          <w:rFonts w:asciiTheme="majorHAnsi" w:hAnsiTheme="majorHAnsi"/>
        </w:rPr>
        <w:t xml:space="preserve">, including </w:t>
      </w:r>
      <w:r w:rsidRPr="00990681">
        <w:rPr>
          <w:rFonts w:asciiTheme="majorHAnsi" w:hAnsiTheme="majorHAnsi"/>
        </w:rPr>
        <w:t>John Kleinheinz of Fort Worth</w:t>
      </w:r>
      <w:r w:rsidR="004E7399">
        <w:rPr>
          <w:rFonts w:asciiTheme="majorHAnsi" w:hAnsiTheme="majorHAnsi"/>
        </w:rPr>
        <w:t xml:space="preserve"> and</w:t>
      </w:r>
      <w:r w:rsidRPr="00990681">
        <w:rPr>
          <w:rFonts w:asciiTheme="majorHAnsi" w:hAnsiTheme="majorHAnsi"/>
        </w:rPr>
        <w:t xml:space="preserve"> Jack Matthews of Dallas</w:t>
      </w:r>
      <w:r w:rsidR="00867566" w:rsidRPr="00990681">
        <w:rPr>
          <w:rFonts w:asciiTheme="majorHAnsi" w:hAnsiTheme="majorHAnsi"/>
        </w:rPr>
        <w:t>.</w:t>
      </w:r>
    </w:p>
    <w:p w14:paraId="45C21771" w14:textId="77777777" w:rsidR="00DB1D83" w:rsidRPr="00990681" w:rsidRDefault="00DB1D83" w:rsidP="009906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0681">
        <w:rPr>
          <w:rFonts w:asciiTheme="majorHAnsi" w:hAnsiTheme="majorHAnsi"/>
        </w:rPr>
        <w:t>F</w:t>
      </w:r>
      <w:r w:rsidR="00867566" w:rsidRPr="00990681">
        <w:rPr>
          <w:rFonts w:asciiTheme="majorHAnsi" w:hAnsiTheme="majorHAnsi"/>
        </w:rPr>
        <w:t xml:space="preserve">ederal Railroad </w:t>
      </w:r>
      <w:r w:rsidR="00990681" w:rsidRPr="00990681">
        <w:rPr>
          <w:rFonts w:asciiTheme="majorHAnsi" w:hAnsiTheme="majorHAnsi"/>
        </w:rPr>
        <w:t>Administration</w:t>
      </w:r>
      <w:r w:rsidR="003E213E" w:rsidRPr="00990681">
        <w:rPr>
          <w:rFonts w:asciiTheme="majorHAnsi" w:hAnsiTheme="majorHAnsi"/>
        </w:rPr>
        <w:t xml:space="preserve"> </w:t>
      </w:r>
      <w:r w:rsidR="00596ED9">
        <w:rPr>
          <w:rFonts w:asciiTheme="majorHAnsi" w:hAnsiTheme="majorHAnsi"/>
        </w:rPr>
        <w:t>designat</w:t>
      </w:r>
      <w:r w:rsidR="00D042E7">
        <w:rPr>
          <w:rFonts w:asciiTheme="majorHAnsi" w:hAnsiTheme="majorHAnsi"/>
        </w:rPr>
        <w:t xml:space="preserve">ion of the </w:t>
      </w:r>
      <w:r w:rsidR="00990681">
        <w:rPr>
          <w:rFonts w:asciiTheme="majorHAnsi" w:hAnsiTheme="majorHAnsi"/>
        </w:rPr>
        <w:t>“</w:t>
      </w:r>
      <w:r w:rsidRPr="00990681">
        <w:rPr>
          <w:rFonts w:asciiTheme="majorHAnsi" w:hAnsiTheme="majorHAnsi"/>
        </w:rPr>
        <w:t>Utility Corridor’</w:t>
      </w:r>
      <w:r w:rsidR="00990681">
        <w:rPr>
          <w:rFonts w:asciiTheme="majorHAnsi" w:hAnsiTheme="majorHAnsi"/>
        </w:rPr>
        <w:t>’</w:t>
      </w:r>
      <w:r w:rsidRPr="00990681">
        <w:rPr>
          <w:rFonts w:asciiTheme="majorHAnsi" w:hAnsiTheme="majorHAnsi"/>
        </w:rPr>
        <w:t xml:space="preserve"> as preferred end-to-end alignment</w:t>
      </w:r>
      <w:r w:rsidR="00990681" w:rsidRPr="00990681">
        <w:rPr>
          <w:rFonts w:asciiTheme="majorHAnsi" w:hAnsiTheme="majorHAnsi"/>
        </w:rPr>
        <w:t>.</w:t>
      </w:r>
    </w:p>
    <w:p w14:paraId="420A27F0" w14:textId="77777777" w:rsidR="00DB1D83" w:rsidRPr="00990681" w:rsidRDefault="00DB1D83" w:rsidP="009906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990681">
        <w:rPr>
          <w:rFonts w:asciiTheme="majorHAnsi" w:hAnsiTheme="majorHAnsi"/>
        </w:rPr>
        <w:t>Dallas</w:t>
      </w:r>
      <w:r w:rsidR="00990681">
        <w:rPr>
          <w:rFonts w:asciiTheme="majorHAnsi" w:hAnsiTheme="majorHAnsi"/>
        </w:rPr>
        <w:t xml:space="preserve"> to</w:t>
      </w:r>
      <w:r w:rsidRPr="00990681">
        <w:rPr>
          <w:rFonts w:asciiTheme="majorHAnsi" w:hAnsiTheme="majorHAnsi"/>
        </w:rPr>
        <w:t xml:space="preserve"> Houston Contractors (DHC) </w:t>
      </w:r>
      <w:r w:rsidR="00990681">
        <w:rPr>
          <w:rFonts w:asciiTheme="majorHAnsi" w:hAnsiTheme="majorHAnsi"/>
        </w:rPr>
        <w:t xml:space="preserve">announced, a </w:t>
      </w:r>
      <w:r w:rsidRPr="00990681">
        <w:rPr>
          <w:rFonts w:asciiTheme="majorHAnsi" w:hAnsiTheme="majorHAnsi"/>
        </w:rPr>
        <w:t xml:space="preserve">joint venture between </w:t>
      </w:r>
      <w:proofErr w:type="spellStart"/>
      <w:r w:rsidRPr="00990681">
        <w:rPr>
          <w:rFonts w:asciiTheme="majorHAnsi" w:hAnsiTheme="majorHAnsi"/>
        </w:rPr>
        <w:t>Ferrovial</w:t>
      </w:r>
      <w:proofErr w:type="spellEnd"/>
      <w:r w:rsidRPr="00990681">
        <w:rPr>
          <w:rFonts w:asciiTheme="majorHAnsi" w:hAnsiTheme="majorHAnsi"/>
        </w:rPr>
        <w:t xml:space="preserve"> Agroman US Corp. and Archer Western Construction</w:t>
      </w:r>
      <w:r w:rsidR="00990681">
        <w:rPr>
          <w:rFonts w:asciiTheme="majorHAnsi" w:hAnsiTheme="majorHAnsi"/>
        </w:rPr>
        <w:t xml:space="preserve">, </w:t>
      </w:r>
      <w:r w:rsidRPr="00990681">
        <w:rPr>
          <w:rFonts w:asciiTheme="majorHAnsi" w:hAnsiTheme="majorHAnsi"/>
        </w:rPr>
        <w:t xml:space="preserve">to provide $130 million </w:t>
      </w:r>
      <w:r w:rsidR="00990681">
        <w:rPr>
          <w:rFonts w:asciiTheme="majorHAnsi" w:hAnsiTheme="majorHAnsi"/>
        </w:rPr>
        <w:t xml:space="preserve">in development phase </w:t>
      </w:r>
      <w:r w:rsidRPr="00990681">
        <w:rPr>
          <w:rFonts w:asciiTheme="majorHAnsi" w:hAnsiTheme="majorHAnsi"/>
        </w:rPr>
        <w:t>work</w:t>
      </w:r>
      <w:r w:rsidR="00990681">
        <w:rPr>
          <w:rFonts w:asciiTheme="majorHAnsi" w:hAnsiTheme="majorHAnsi"/>
        </w:rPr>
        <w:t>.</w:t>
      </w:r>
    </w:p>
    <w:p w14:paraId="1AAAEC85" w14:textId="766ECC21" w:rsidR="00DB1D83" w:rsidRPr="00990681" w:rsidRDefault="00990681" w:rsidP="0099068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A </w:t>
      </w:r>
      <w:r w:rsidR="00DB1D83" w:rsidRPr="00990681">
        <w:rPr>
          <w:rFonts w:asciiTheme="majorHAnsi" w:hAnsiTheme="majorHAnsi"/>
        </w:rPr>
        <w:t xml:space="preserve">$40 million </w:t>
      </w:r>
      <w:r w:rsidR="00DB1D83" w:rsidRPr="00492DB9">
        <w:rPr>
          <w:rFonts w:asciiTheme="majorHAnsi" w:hAnsiTheme="majorHAnsi"/>
        </w:rPr>
        <w:t xml:space="preserve">commitment </w:t>
      </w:r>
      <w:r w:rsidR="002F6CFC" w:rsidRPr="00492DB9">
        <w:rPr>
          <w:rFonts w:asciiTheme="majorHAnsi" w:hAnsiTheme="majorHAnsi"/>
        </w:rPr>
        <w:t xml:space="preserve">from </w:t>
      </w:r>
      <w:r w:rsidR="00492DB9" w:rsidRPr="00492DB9">
        <w:rPr>
          <w:rFonts w:asciiTheme="majorHAnsi" w:hAnsiTheme="majorHAnsi" w:cs="Gill Sans"/>
        </w:rPr>
        <w:t>Japan Overseas Infrastructure Investment Corporation for Transport and Urban Development (JOIN)</w:t>
      </w:r>
      <w:r w:rsidR="00DB1D83" w:rsidRPr="00492DB9">
        <w:rPr>
          <w:rFonts w:asciiTheme="majorHAnsi" w:hAnsiTheme="majorHAnsi"/>
        </w:rPr>
        <w:t xml:space="preserve">, </w:t>
      </w:r>
      <w:r w:rsidRPr="00492DB9">
        <w:rPr>
          <w:rFonts w:asciiTheme="majorHAnsi" w:hAnsiTheme="majorHAnsi"/>
        </w:rPr>
        <w:t xml:space="preserve">bringing </w:t>
      </w:r>
      <w:r w:rsidR="00DB1D83" w:rsidRPr="00492DB9">
        <w:rPr>
          <w:rFonts w:asciiTheme="majorHAnsi" w:hAnsiTheme="majorHAnsi"/>
        </w:rPr>
        <w:t>total development funding to $245 million</w:t>
      </w:r>
      <w:r w:rsidRPr="00492DB9">
        <w:rPr>
          <w:rFonts w:asciiTheme="majorHAnsi" w:hAnsiTheme="majorHAnsi"/>
        </w:rPr>
        <w:t>.</w:t>
      </w:r>
    </w:p>
    <w:p w14:paraId="2A4064FD" w14:textId="77777777" w:rsidR="00670D50" w:rsidRDefault="00670D50" w:rsidP="00670D50">
      <w:pPr>
        <w:rPr>
          <w:rFonts w:eastAsia="Times New Roman" w:cs="Arial"/>
          <w:color w:val="000000"/>
          <w:shd w:val="clear" w:color="auto" w:fill="FFFFFF"/>
        </w:rPr>
      </w:pPr>
    </w:p>
    <w:p w14:paraId="036EFA02" w14:textId="313C830F" w:rsidR="00670D50" w:rsidRPr="00670D50" w:rsidRDefault="00670D50" w:rsidP="00670D50">
      <w:pPr>
        <w:widowControl w:val="0"/>
        <w:kinsoku w:val="0"/>
        <w:overflowPunct w:val="0"/>
        <w:autoSpaceDE w:val="0"/>
        <w:autoSpaceDN w:val="0"/>
        <w:adjustRightInd w:val="0"/>
        <w:spacing w:line="204" w:lineRule="exact"/>
        <w:ind w:left="37"/>
        <w:rPr>
          <w:rFonts w:asciiTheme="majorHAnsi" w:hAnsiTheme="majorHAnsi" w:cs="Calibri"/>
          <w:b/>
        </w:rPr>
      </w:pPr>
      <w:r w:rsidRPr="00670D50">
        <w:rPr>
          <w:rFonts w:asciiTheme="majorHAnsi" w:hAnsiTheme="majorHAnsi" w:cs="Calibri"/>
          <w:b/>
        </w:rPr>
        <w:t>ABOUT</w:t>
      </w:r>
      <w:r w:rsidRPr="00670D50">
        <w:rPr>
          <w:rFonts w:asciiTheme="majorHAnsi" w:hAnsiTheme="majorHAnsi" w:cs="Calibri"/>
          <w:b/>
          <w:spacing w:val="-6"/>
        </w:rPr>
        <w:t xml:space="preserve"> </w:t>
      </w:r>
      <w:r w:rsidRPr="00670D50">
        <w:rPr>
          <w:rFonts w:asciiTheme="majorHAnsi" w:hAnsiTheme="majorHAnsi" w:cs="Calibri"/>
          <w:b/>
        </w:rPr>
        <w:t>TEXAS</w:t>
      </w:r>
      <w:r w:rsidRPr="00670D50">
        <w:rPr>
          <w:rFonts w:asciiTheme="majorHAnsi" w:hAnsiTheme="majorHAnsi" w:cs="Calibri"/>
          <w:b/>
          <w:spacing w:val="-5"/>
        </w:rPr>
        <w:t xml:space="preserve"> </w:t>
      </w:r>
      <w:r w:rsidRPr="00670D50">
        <w:rPr>
          <w:rFonts w:asciiTheme="majorHAnsi" w:hAnsiTheme="majorHAnsi" w:cs="Calibri"/>
          <w:b/>
        </w:rPr>
        <w:t>CENTRAL</w:t>
      </w:r>
      <w:r w:rsidRPr="00670D50">
        <w:rPr>
          <w:rFonts w:asciiTheme="majorHAnsi" w:hAnsiTheme="majorHAnsi" w:cs="Calibri"/>
          <w:b/>
          <w:spacing w:val="-5"/>
        </w:rPr>
        <w:t xml:space="preserve"> </w:t>
      </w:r>
      <w:r w:rsidR="00071C56">
        <w:rPr>
          <w:rFonts w:asciiTheme="majorHAnsi" w:hAnsiTheme="majorHAnsi" w:cs="Calibri"/>
          <w:b/>
        </w:rPr>
        <w:t>PARTNERS, LLC</w:t>
      </w:r>
    </w:p>
    <w:p w14:paraId="5379C5C3" w14:textId="6BA00265" w:rsidR="00670D50" w:rsidRDefault="00670D50" w:rsidP="00670D50">
      <w:pPr>
        <w:widowControl w:val="0"/>
        <w:kinsoku w:val="0"/>
        <w:overflowPunct w:val="0"/>
        <w:autoSpaceDE w:val="0"/>
        <w:autoSpaceDN w:val="0"/>
        <w:adjustRightInd w:val="0"/>
        <w:ind w:left="37" w:right="99"/>
        <w:rPr>
          <w:rFonts w:asciiTheme="majorHAnsi" w:hAnsiTheme="majorHAnsi" w:cs="Calibri"/>
        </w:rPr>
      </w:pPr>
      <w:r w:rsidRPr="00670D50">
        <w:rPr>
          <w:rFonts w:asciiTheme="majorHAnsi" w:hAnsiTheme="majorHAnsi" w:cs="Calibri"/>
          <w:w w:val="95"/>
        </w:rPr>
        <w:t>Texas</w:t>
      </w:r>
      <w:r w:rsidRPr="00670D50">
        <w:rPr>
          <w:rFonts w:asciiTheme="majorHAnsi" w:hAnsiTheme="majorHAnsi" w:cs="Calibri"/>
          <w:spacing w:val="-17"/>
          <w:w w:val="95"/>
        </w:rPr>
        <w:t xml:space="preserve"> </w:t>
      </w:r>
      <w:r w:rsidRPr="00670D50">
        <w:rPr>
          <w:rFonts w:asciiTheme="majorHAnsi" w:hAnsiTheme="majorHAnsi" w:cs="Calibri"/>
          <w:w w:val="95"/>
        </w:rPr>
        <w:t>Central</w:t>
      </w:r>
      <w:r w:rsidRPr="00670D50">
        <w:rPr>
          <w:rFonts w:asciiTheme="majorHAnsi" w:hAnsiTheme="majorHAnsi" w:cs="Calibri"/>
          <w:spacing w:val="-16"/>
          <w:w w:val="95"/>
        </w:rPr>
        <w:t xml:space="preserve"> </w:t>
      </w:r>
      <w:r w:rsidRPr="00670D50">
        <w:rPr>
          <w:rFonts w:asciiTheme="majorHAnsi" w:hAnsiTheme="majorHAnsi" w:cs="Calibri"/>
          <w:w w:val="95"/>
        </w:rPr>
        <w:t>is</w:t>
      </w:r>
      <w:r w:rsidRPr="00670D50">
        <w:rPr>
          <w:rFonts w:asciiTheme="majorHAnsi" w:hAnsiTheme="majorHAnsi" w:cs="Calibri"/>
          <w:spacing w:val="-17"/>
          <w:w w:val="95"/>
        </w:rPr>
        <w:t xml:space="preserve"> </w:t>
      </w:r>
      <w:r w:rsidRPr="00670D50">
        <w:rPr>
          <w:rFonts w:asciiTheme="majorHAnsi" w:hAnsiTheme="majorHAnsi" w:cs="Calibri"/>
          <w:w w:val="95"/>
        </w:rPr>
        <w:t>a</w:t>
      </w:r>
      <w:r w:rsidRPr="00670D50">
        <w:rPr>
          <w:rFonts w:asciiTheme="majorHAnsi" w:hAnsiTheme="majorHAnsi" w:cs="Calibri"/>
          <w:spacing w:val="-16"/>
          <w:w w:val="95"/>
        </w:rPr>
        <w:t xml:space="preserve"> </w:t>
      </w:r>
      <w:r w:rsidRPr="00670D50">
        <w:rPr>
          <w:rFonts w:asciiTheme="majorHAnsi" w:hAnsiTheme="majorHAnsi" w:cs="Calibri"/>
          <w:w w:val="95"/>
        </w:rPr>
        <w:t>private,</w:t>
      </w:r>
      <w:r w:rsidRPr="00670D50">
        <w:rPr>
          <w:rFonts w:asciiTheme="majorHAnsi" w:hAnsiTheme="majorHAnsi" w:cs="Calibri"/>
          <w:spacing w:val="-16"/>
          <w:w w:val="95"/>
        </w:rPr>
        <w:t xml:space="preserve"> </w:t>
      </w:r>
      <w:r w:rsidRPr="00670D50">
        <w:rPr>
          <w:rFonts w:asciiTheme="majorHAnsi" w:hAnsiTheme="majorHAnsi" w:cs="Calibri"/>
          <w:spacing w:val="-1"/>
          <w:w w:val="95"/>
        </w:rPr>
        <w:t>Texas</w:t>
      </w:r>
      <w:r w:rsidRPr="00670D50">
        <w:rPr>
          <w:rFonts w:asciiTheme="majorHAnsi" w:hAnsiTheme="majorHAnsi" w:cs="Calibri"/>
          <w:spacing w:val="-6"/>
          <w:w w:val="95"/>
        </w:rPr>
        <w:t>‐</w:t>
      </w:r>
      <w:r w:rsidRPr="00670D50">
        <w:rPr>
          <w:rFonts w:asciiTheme="majorHAnsi" w:hAnsiTheme="majorHAnsi" w:cs="Calibri"/>
          <w:spacing w:val="-1"/>
          <w:w w:val="95"/>
        </w:rPr>
        <w:t>based</w:t>
      </w:r>
      <w:r w:rsidRPr="00670D50">
        <w:rPr>
          <w:rFonts w:asciiTheme="majorHAnsi" w:hAnsiTheme="majorHAnsi" w:cs="Calibri"/>
          <w:spacing w:val="-16"/>
          <w:w w:val="95"/>
        </w:rPr>
        <w:t xml:space="preserve"> </w:t>
      </w:r>
      <w:proofErr w:type="gramStart"/>
      <w:r w:rsidRPr="00670D50">
        <w:rPr>
          <w:rFonts w:asciiTheme="majorHAnsi" w:hAnsiTheme="majorHAnsi" w:cs="Calibri"/>
          <w:w w:val="95"/>
        </w:rPr>
        <w:t>company</w:t>
      </w:r>
      <w:proofErr w:type="gramEnd"/>
      <w:r w:rsidRPr="00670D50">
        <w:rPr>
          <w:rFonts w:asciiTheme="majorHAnsi" w:hAnsiTheme="majorHAnsi" w:cs="Calibri"/>
          <w:spacing w:val="-16"/>
          <w:w w:val="95"/>
        </w:rPr>
        <w:t xml:space="preserve"> </w:t>
      </w:r>
      <w:r w:rsidRPr="00670D50">
        <w:rPr>
          <w:rFonts w:asciiTheme="majorHAnsi" w:hAnsiTheme="majorHAnsi" w:cs="Calibri"/>
          <w:w w:val="95"/>
        </w:rPr>
        <w:t xml:space="preserve">that is developing the </w:t>
      </w:r>
      <w:r w:rsidRPr="00670D50">
        <w:rPr>
          <w:rFonts w:asciiTheme="majorHAnsi" w:hAnsiTheme="majorHAnsi" w:cs="Calibri"/>
          <w:spacing w:val="-1"/>
          <w:w w:val="95"/>
        </w:rPr>
        <w:t>high</w:t>
      </w:r>
      <w:r w:rsidRPr="00670D50">
        <w:rPr>
          <w:rFonts w:asciiTheme="majorHAnsi" w:hAnsiTheme="majorHAnsi" w:cs="Calibri"/>
          <w:spacing w:val="-6"/>
          <w:w w:val="95"/>
        </w:rPr>
        <w:t>-</w:t>
      </w:r>
      <w:r w:rsidRPr="00670D50">
        <w:rPr>
          <w:rFonts w:asciiTheme="majorHAnsi" w:hAnsiTheme="majorHAnsi" w:cs="Calibri"/>
        </w:rPr>
        <w:t>speed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passenger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railway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and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associated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 xml:space="preserve">facilities between </w:t>
      </w:r>
      <w:r w:rsidR="007E6EDA">
        <w:rPr>
          <w:rFonts w:asciiTheme="majorHAnsi" w:hAnsiTheme="majorHAnsi" w:cs="Calibri"/>
        </w:rPr>
        <w:t>North Texas</w:t>
      </w:r>
      <w:r w:rsidRPr="00670D50">
        <w:rPr>
          <w:rFonts w:asciiTheme="majorHAnsi" w:hAnsiTheme="majorHAnsi" w:cs="Calibri"/>
        </w:rPr>
        <w:t xml:space="preserve"> and Houston.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Texas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  <w:spacing w:val="-1"/>
        </w:rPr>
        <w:t>Central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and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its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affiliated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entities are responsible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for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the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system’s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design,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finance,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construction,</w:t>
      </w:r>
      <w:r w:rsidRPr="00670D50">
        <w:rPr>
          <w:rFonts w:asciiTheme="majorHAnsi" w:hAnsiTheme="majorHAnsi" w:cs="Calibri"/>
          <w:spacing w:val="-3"/>
        </w:rPr>
        <w:t xml:space="preserve"> </w:t>
      </w:r>
      <w:r w:rsidRPr="00670D50">
        <w:rPr>
          <w:rFonts w:asciiTheme="majorHAnsi" w:hAnsiTheme="majorHAnsi" w:cs="Calibri"/>
        </w:rPr>
        <w:t>operation</w:t>
      </w:r>
      <w:r w:rsidRPr="00670D50">
        <w:rPr>
          <w:rFonts w:asciiTheme="majorHAnsi" w:hAnsiTheme="majorHAnsi" w:cs="Calibri"/>
          <w:spacing w:val="-2"/>
        </w:rPr>
        <w:t xml:space="preserve"> </w:t>
      </w:r>
      <w:r w:rsidRPr="00670D50">
        <w:rPr>
          <w:rFonts w:asciiTheme="majorHAnsi" w:hAnsiTheme="majorHAnsi" w:cs="Calibri"/>
        </w:rPr>
        <w:t>and maintenance.</w:t>
      </w:r>
      <w:r w:rsidRPr="00670D50">
        <w:rPr>
          <w:rFonts w:asciiTheme="majorHAnsi" w:hAnsiTheme="majorHAnsi" w:cs="Calibri"/>
          <w:spacing w:val="-1"/>
        </w:rPr>
        <w:t xml:space="preserve"> </w:t>
      </w:r>
      <w:r w:rsidRPr="00670D50">
        <w:rPr>
          <w:rFonts w:asciiTheme="majorHAnsi" w:hAnsiTheme="majorHAnsi" w:cs="Calibri"/>
        </w:rPr>
        <w:t xml:space="preserve"> </w:t>
      </w:r>
    </w:p>
    <w:sectPr w:rsidR="00670D50" w:rsidSect="005E3CC3">
      <w:headerReference w:type="default" r:id="rId8"/>
      <w:footerReference w:type="default" r:id="rId9"/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8BD19" w14:textId="77777777" w:rsidR="003310F1" w:rsidRDefault="003310F1" w:rsidP="004E7399">
      <w:r>
        <w:separator/>
      </w:r>
    </w:p>
  </w:endnote>
  <w:endnote w:type="continuationSeparator" w:id="0">
    <w:p w14:paraId="09265A61" w14:textId="77777777" w:rsidR="003310F1" w:rsidRDefault="003310F1" w:rsidP="004E7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8763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20"/>
      </w:rPr>
    </w:sdtEndPr>
    <w:sdtContent>
      <w:p w14:paraId="4A37B8A1" w14:textId="77777777" w:rsidR="00AD3B82" w:rsidRPr="004E7399" w:rsidRDefault="00AD3B82">
        <w:pPr>
          <w:pStyle w:val="Footer"/>
          <w:jc w:val="center"/>
          <w:rPr>
            <w:rFonts w:asciiTheme="majorHAnsi" w:hAnsiTheme="majorHAnsi"/>
            <w:sz w:val="20"/>
          </w:rPr>
        </w:pPr>
        <w:r w:rsidRPr="004E7399">
          <w:rPr>
            <w:rFonts w:asciiTheme="majorHAnsi" w:hAnsiTheme="majorHAnsi"/>
            <w:sz w:val="20"/>
          </w:rPr>
          <w:fldChar w:fldCharType="begin"/>
        </w:r>
        <w:r w:rsidRPr="004E7399">
          <w:rPr>
            <w:rFonts w:asciiTheme="majorHAnsi" w:hAnsiTheme="majorHAnsi"/>
            <w:sz w:val="20"/>
          </w:rPr>
          <w:instrText xml:space="preserve"> PAGE   \* MERGEFORMAT </w:instrText>
        </w:r>
        <w:r w:rsidRPr="004E7399">
          <w:rPr>
            <w:rFonts w:asciiTheme="majorHAnsi" w:hAnsiTheme="majorHAnsi"/>
            <w:sz w:val="20"/>
          </w:rPr>
          <w:fldChar w:fldCharType="separate"/>
        </w:r>
        <w:r w:rsidR="005C7300">
          <w:rPr>
            <w:rFonts w:asciiTheme="majorHAnsi" w:hAnsiTheme="majorHAnsi"/>
            <w:noProof/>
            <w:sz w:val="20"/>
          </w:rPr>
          <w:t>1</w:t>
        </w:r>
        <w:r w:rsidRPr="004E7399">
          <w:rPr>
            <w:rFonts w:asciiTheme="majorHAnsi" w:hAnsiTheme="majorHAnsi"/>
            <w:noProof/>
            <w:sz w:val="20"/>
          </w:rPr>
          <w:fldChar w:fldCharType="end"/>
        </w:r>
      </w:p>
    </w:sdtContent>
  </w:sdt>
  <w:p w14:paraId="56B2E01D" w14:textId="77777777" w:rsidR="00AD3B82" w:rsidRDefault="00AD3B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00673C" w14:textId="77777777" w:rsidR="003310F1" w:rsidRDefault="003310F1" w:rsidP="004E7399">
      <w:r>
        <w:separator/>
      </w:r>
    </w:p>
  </w:footnote>
  <w:footnote w:type="continuationSeparator" w:id="0">
    <w:p w14:paraId="3D604FA6" w14:textId="77777777" w:rsidR="003310F1" w:rsidRDefault="003310F1" w:rsidP="004E73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4BCE23" w14:textId="5368310F" w:rsidR="00660E69" w:rsidRDefault="00660E69" w:rsidP="00660E69">
    <w:pPr>
      <w:pStyle w:val="Header"/>
      <w:jc w:val="center"/>
    </w:pPr>
    <w:r>
      <w:rPr>
        <w:noProof/>
      </w:rPr>
      <w:drawing>
        <wp:inline distT="0" distB="0" distL="0" distR="0" wp14:anchorId="5F2EFF2A" wp14:editId="2B1D659F">
          <wp:extent cx="2157984" cy="94486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Logo_Print_Transparent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520" cy="9459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C0C"/>
    <w:multiLevelType w:val="hybridMultilevel"/>
    <w:tmpl w:val="3976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0311D"/>
    <w:multiLevelType w:val="hybridMultilevel"/>
    <w:tmpl w:val="A22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B5"/>
    <w:rsid w:val="000406C1"/>
    <w:rsid w:val="00071C56"/>
    <w:rsid w:val="00075E13"/>
    <w:rsid w:val="000A4E29"/>
    <w:rsid w:val="000D70E2"/>
    <w:rsid w:val="00101659"/>
    <w:rsid w:val="0015021D"/>
    <w:rsid w:val="00150C7B"/>
    <w:rsid w:val="00181996"/>
    <w:rsid w:val="00262F49"/>
    <w:rsid w:val="002A5AB5"/>
    <w:rsid w:val="002C41B8"/>
    <w:rsid w:val="002F6CFC"/>
    <w:rsid w:val="0032798E"/>
    <w:rsid w:val="003310F1"/>
    <w:rsid w:val="00356A33"/>
    <w:rsid w:val="00361A72"/>
    <w:rsid w:val="003B531C"/>
    <w:rsid w:val="003B7F06"/>
    <w:rsid w:val="003E213E"/>
    <w:rsid w:val="0041632F"/>
    <w:rsid w:val="004521CF"/>
    <w:rsid w:val="00492DB9"/>
    <w:rsid w:val="004C1C63"/>
    <w:rsid w:val="004E1C94"/>
    <w:rsid w:val="004E7399"/>
    <w:rsid w:val="004F2B85"/>
    <w:rsid w:val="00537E59"/>
    <w:rsid w:val="00596ED9"/>
    <w:rsid w:val="005A606B"/>
    <w:rsid w:val="005B23FC"/>
    <w:rsid w:val="005B7A84"/>
    <w:rsid w:val="005C7300"/>
    <w:rsid w:val="005E3CC3"/>
    <w:rsid w:val="006249C0"/>
    <w:rsid w:val="00631105"/>
    <w:rsid w:val="00660E69"/>
    <w:rsid w:val="00670D50"/>
    <w:rsid w:val="006A2AFB"/>
    <w:rsid w:val="00724104"/>
    <w:rsid w:val="007E10C2"/>
    <w:rsid w:val="007E6EDA"/>
    <w:rsid w:val="007F27AD"/>
    <w:rsid w:val="00845ED7"/>
    <w:rsid w:val="00867566"/>
    <w:rsid w:val="00872D7D"/>
    <w:rsid w:val="008D4D11"/>
    <w:rsid w:val="008F5527"/>
    <w:rsid w:val="00904375"/>
    <w:rsid w:val="00921B3B"/>
    <w:rsid w:val="00933AB3"/>
    <w:rsid w:val="009519B5"/>
    <w:rsid w:val="00990681"/>
    <w:rsid w:val="00995F65"/>
    <w:rsid w:val="009A14CD"/>
    <w:rsid w:val="00A34EE1"/>
    <w:rsid w:val="00AD3B82"/>
    <w:rsid w:val="00B72585"/>
    <w:rsid w:val="00C46F25"/>
    <w:rsid w:val="00C50C7C"/>
    <w:rsid w:val="00CC007D"/>
    <w:rsid w:val="00CE6287"/>
    <w:rsid w:val="00D042E7"/>
    <w:rsid w:val="00DB1D83"/>
    <w:rsid w:val="00DC2494"/>
    <w:rsid w:val="00DC7FBF"/>
    <w:rsid w:val="00E0763B"/>
    <w:rsid w:val="00EC4338"/>
    <w:rsid w:val="00EF7B2B"/>
    <w:rsid w:val="00F338F2"/>
    <w:rsid w:val="00FA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0C9D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99"/>
  </w:style>
  <w:style w:type="paragraph" w:styleId="Footer">
    <w:name w:val="footer"/>
    <w:basedOn w:val="Normal"/>
    <w:link w:val="FooterChar"/>
    <w:uiPriority w:val="99"/>
    <w:unhideWhenUsed/>
    <w:rsid w:val="004E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99"/>
  </w:style>
  <w:style w:type="paragraph" w:styleId="BalloonText">
    <w:name w:val="Balloon Text"/>
    <w:basedOn w:val="Normal"/>
    <w:link w:val="BalloonTextChar"/>
    <w:uiPriority w:val="99"/>
    <w:semiHidden/>
    <w:unhideWhenUsed/>
    <w:rsid w:val="003B7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B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2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3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399"/>
  </w:style>
  <w:style w:type="paragraph" w:styleId="Footer">
    <w:name w:val="footer"/>
    <w:basedOn w:val="Normal"/>
    <w:link w:val="FooterChar"/>
    <w:uiPriority w:val="99"/>
    <w:unhideWhenUsed/>
    <w:rsid w:val="004E73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399"/>
  </w:style>
  <w:style w:type="paragraph" w:styleId="BalloonText">
    <w:name w:val="Balloon Text"/>
    <w:basedOn w:val="Normal"/>
    <w:link w:val="BalloonTextChar"/>
    <w:uiPriority w:val="99"/>
    <w:semiHidden/>
    <w:unhideWhenUsed/>
    <w:rsid w:val="003B7F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F0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7B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Edgar</dc:creator>
  <cp:lastModifiedBy>Spencer Whelan</cp:lastModifiedBy>
  <cp:revision>2</cp:revision>
  <cp:lastPrinted>2015-11-30T15:26:00Z</cp:lastPrinted>
  <dcterms:created xsi:type="dcterms:W3CDTF">2015-11-30T22:50:00Z</dcterms:created>
  <dcterms:modified xsi:type="dcterms:W3CDTF">2015-11-30T22:50:00Z</dcterms:modified>
</cp:coreProperties>
</file>